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CBFD" w14:textId="0213997B" w:rsidR="00196665" w:rsidRDefault="00196665" w:rsidP="00196665">
      <w:pPr>
        <w:jc w:val="right"/>
        <w:rPr>
          <w:rFonts w:ascii="Arial" w:eastAsia="Helvetica Neue" w:hAnsi="Arial" w:cs="Arial"/>
          <w:b/>
          <w:bCs/>
          <w:color w:val="000000"/>
          <w:sz w:val="22"/>
          <w:szCs w:val="22"/>
        </w:rPr>
      </w:pPr>
      <w:r>
        <w:rPr>
          <w:rFonts w:ascii="Arial" w:hAnsi="Arial"/>
          <w:b/>
          <w:bCs/>
          <w:color w:val="000000"/>
          <w:sz w:val="22"/>
          <w:szCs w:val="22"/>
        </w:rPr>
        <w:t xml:space="preserve">Suresnes, France – February 29, 2024, </w:t>
      </w:r>
      <w:r>
        <w:rPr>
          <w:rFonts w:ascii="Arial" w:hAnsi="Arial"/>
          <w:b/>
          <w:bCs/>
          <w:color w:val="000000"/>
          <w:sz w:val="22"/>
          <w:szCs w:val="22"/>
          <w:highlight w:val="yellow"/>
        </w:rPr>
        <w:t>at 6 p.m.</w:t>
      </w:r>
    </w:p>
    <w:p w14:paraId="6BAED0D2" w14:textId="77777777" w:rsidR="00196665" w:rsidRPr="00E80D3C" w:rsidRDefault="00196665" w:rsidP="00196665">
      <w:pPr>
        <w:jc w:val="right"/>
        <w:rPr>
          <w:rFonts w:ascii="Arial" w:eastAsia="Helvetica Neue" w:hAnsi="Arial" w:cs="Arial"/>
          <w:b/>
          <w:color w:val="000000"/>
          <w:lang w:val="en-GB"/>
        </w:rPr>
      </w:pPr>
    </w:p>
    <w:p w14:paraId="7EB1D4C4" w14:textId="7789130D" w:rsidR="00C71CC0" w:rsidRPr="00196665" w:rsidRDefault="00D21291" w:rsidP="004D5677">
      <w:pPr>
        <w:jc w:val="center"/>
        <w:rPr>
          <w:rFonts w:ascii="Arial" w:eastAsia="Helvetica Neue" w:hAnsi="Arial" w:cs="Arial"/>
          <w:b/>
          <w:color w:val="000000"/>
          <w:sz w:val="32"/>
          <w:szCs w:val="32"/>
        </w:rPr>
      </w:pPr>
      <w:r>
        <w:rPr>
          <w:rFonts w:ascii="Arial" w:hAnsi="Arial"/>
          <w:b/>
          <w:color w:val="000000"/>
          <w:sz w:val="32"/>
          <w:szCs w:val="32"/>
        </w:rPr>
        <w:t>Bel</w:t>
      </w:r>
    </w:p>
    <w:p w14:paraId="1B187759" w14:textId="3A1F6071" w:rsidR="005C371F" w:rsidRPr="00196665" w:rsidRDefault="003342BB" w:rsidP="000624EC">
      <w:pPr>
        <w:jc w:val="center"/>
        <w:rPr>
          <w:rFonts w:ascii="Arial" w:eastAsia="Helvetica Neue" w:hAnsi="Arial" w:cs="Arial"/>
          <w:b/>
          <w:color w:val="000000"/>
          <w:sz w:val="20"/>
          <w:szCs w:val="20"/>
        </w:rPr>
      </w:pPr>
      <w:r>
        <w:rPr>
          <w:rFonts w:ascii="Arial" w:hAnsi="Arial"/>
          <w:b/>
          <w:color w:val="000000"/>
          <w:sz w:val="32"/>
          <w:szCs w:val="32"/>
        </w:rPr>
        <w:t>Annual Financial Information</w:t>
      </w:r>
    </w:p>
    <w:p w14:paraId="55B42293" w14:textId="5459367B" w:rsidR="00A67870" w:rsidRPr="00196665" w:rsidRDefault="00B653F4" w:rsidP="00DF40AF">
      <w:pPr>
        <w:jc w:val="center"/>
        <w:rPr>
          <w:rFonts w:ascii="Arial" w:eastAsia="Helvetica Neue" w:hAnsi="Arial" w:cs="Arial"/>
          <w:b/>
          <w:color w:val="000000"/>
          <w:sz w:val="32"/>
          <w:szCs w:val="32"/>
        </w:rPr>
      </w:pPr>
      <w:r>
        <w:rPr>
          <w:rFonts w:ascii="Arial" w:hAnsi="Arial"/>
          <w:b/>
          <w:color w:val="000000"/>
          <w:sz w:val="32"/>
          <w:szCs w:val="32"/>
        </w:rPr>
        <w:t>2023 Results</w:t>
      </w:r>
    </w:p>
    <w:p w14:paraId="285D2CB9" w14:textId="77777777" w:rsidR="00BF4CEF" w:rsidRPr="00E80D3C" w:rsidRDefault="00BF4CEF" w:rsidP="00DF40AF">
      <w:pPr>
        <w:jc w:val="center"/>
        <w:rPr>
          <w:rFonts w:ascii="Arial" w:eastAsia="Helvetica Neue" w:hAnsi="Arial" w:cs="Arial"/>
          <w:b/>
          <w:color w:val="000000"/>
          <w:sz w:val="20"/>
          <w:szCs w:val="20"/>
          <w:lang w:val="en-GB"/>
        </w:rPr>
      </w:pPr>
    </w:p>
    <w:p w14:paraId="62325D29" w14:textId="1F43369A" w:rsidR="005D38C7" w:rsidRDefault="00FB3FA9" w:rsidP="00487187">
      <w:pPr>
        <w:ind w:left="-284" w:right="-421"/>
        <w:jc w:val="center"/>
        <w:rPr>
          <w:rFonts w:ascii="Arial" w:eastAsia="Helvetica Neue" w:hAnsi="Arial" w:cs="Arial"/>
          <w:b/>
          <w:color w:val="000000" w:themeColor="text1"/>
          <w:sz w:val="28"/>
          <w:szCs w:val="28"/>
        </w:rPr>
      </w:pPr>
      <w:r>
        <w:rPr>
          <w:rFonts w:ascii="Arial" w:hAnsi="Arial"/>
          <w:b/>
          <w:color w:val="000000" w:themeColor="text1"/>
          <w:sz w:val="28"/>
          <w:szCs w:val="28"/>
        </w:rPr>
        <w:t>Solid full-year performance against a backdrop of sustained inflation</w:t>
      </w:r>
    </w:p>
    <w:p w14:paraId="687BC081" w14:textId="1C66DF82" w:rsidR="00811089" w:rsidRDefault="00811089" w:rsidP="00487187">
      <w:pPr>
        <w:ind w:left="-284" w:right="-421"/>
        <w:jc w:val="center"/>
        <w:rPr>
          <w:rFonts w:ascii="Arial" w:eastAsia="Helvetica Neue" w:hAnsi="Arial" w:cs="Arial"/>
          <w:b/>
          <w:color w:val="000000" w:themeColor="text1"/>
          <w:sz w:val="28"/>
          <w:szCs w:val="28"/>
        </w:rPr>
      </w:pPr>
      <w:r>
        <w:rPr>
          <w:rFonts w:ascii="Arial" w:hAnsi="Arial"/>
          <w:b/>
          <w:color w:val="000000" w:themeColor="text1"/>
          <w:sz w:val="28"/>
          <w:szCs w:val="28"/>
        </w:rPr>
        <w:t xml:space="preserve">Confirmed commitment to corporate social responsibility </w:t>
      </w:r>
    </w:p>
    <w:p w14:paraId="1EFCB863" w14:textId="77777777" w:rsidR="004B7624" w:rsidRPr="00E80D3C" w:rsidRDefault="004B7624" w:rsidP="004C52E0">
      <w:pPr>
        <w:jc w:val="center"/>
        <w:rPr>
          <w:rFonts w:ascii="Arial" w:eastAsia="Helvetica Neue" w:hAnsi="Arial" w:cs="Arial"/>
          <w:b/>
          <w:color w:val="000000" w:themeColor="text1"/>
          <w:sz w:val="28"/>
          <w:szCs w:val="28"/>
          <w:lang w:val="en-GB"/>
        </w:rPr>
      </w:pPr>
    </w:p>
    <w:p w14:paraId="45E1F03B" w14:textId="77777777" w:rsidR="00833C56" w:rsidRPr="00E80D3C" w:rsidRDefault="00833C56" w:rsidP="006843D6">
      <w:pPr>
        <w:rPr>
          <w:rFonts w:ascii="Arial" w:eastAsia="Helvetica Neue" w:hAnsi="Arial" w:cs="Arial"/>
          <w:b/>
          <w:color w:val="000000"/>
          <w:lang w:val="en-GB"/>
        </w:rPr>
      </w:pPr>
    </w:p>
    <w:tbl>
      <w:tblPr>
        <w:tblStyle w:val="Grilledutableau"/>
        <w:tblW w:w="9751" w:type="dxa"/>
        <w:tblBorders>
          <w:top w:val="single" w:sz="24" w:space="0" w:color="006041"/>
          <w:left w:val="single" w:sz="24" w:space="0" w:color="006041"/>
          <w:bottom w:val="single" w:sz="24" w:space="0" w:color="006041"/>
          <w:right w:val="single" w:sz="24" w:space="0" w:color="006041"/>
          <w:insideH w:val="single" w:sz="24" w:space="0" w:color="006041"/>
          <w:insideV w:val="single" w:sz="24" w:space="0" w:color="006041"/>
        </w:tblBorders>
        <w:tblLook w:val="04A0" w:firstRow="1" w:lastRow="0" w:firstColumn="1" w:lastColumn="0" w:noHBand="0" w:noVBand="1"/>
      </w:tblPr>
      <w:tblGrid>
        <w:gridCol w:w="9751"/>
      </w:tblGrid>
      <w:tr w:rsidR="003342BB" w:rsidRPr="000E2760" w14:paraId="7FD3790E" w14:textId="77777777" w:rsidTr="005E2594">
        <w:tc>
          <w:tcPr>
            <w:tcW w:w="9751" w:type="dxa"/>
          </w:tcPr>
          <w:p w14:paraId="06535012" w14:textId="77777777" w:rsidR="005B206D" w:rsidRPr="00E80D3C" w:rsidRDefault="005B206D" w:rsidP="005B206D">
            <w:pPr>
              <w:pStyle w:val="Paragraphedeliste"/>
              <w:rPr>
                <w:rFonts w:ascii="Arial" w:eastAsia="Helvetica Neue" w:hAnsi="Arial" w:cs="Arial"/>
                <w:b/>
                <w:bCs/>
                <w:color w:val="000000"/>
                <w:sz w:val="10"/>
                <w:szCs w:val="10"/>
                <w:lang w:val="en-GB"/>
              </w:rPr>
            </w:pPr>
          </w:p>
          <w:p w14:paraId="53156AA8" w14:textId="77777777" w:rsidR="00824B5B" w:rsidRPr="00E80D3C" w:rsidRDefault="00824B5B" w:rsidP="00824B5B">
            <w:pPr>
              <w:pStyle w:val="Paragraphedeliste"/>
              <w:ind w:left="284"/>
              <w:rPr>
                <w:rFonts w:ascii="Arial" w:eastAsia="Helvetica Neue" w:hAnsi="Arial" w:cs="Arial"/>
                <w:b/>
                <w:bCs/>
                <w:color w:val="000000"/>
                <w:sz w:val="22"/>
                <w:szCs w:val="22"/>
                <w:lang w:val="en-GB"/>
              </w:rPr>
            </w:pPr>
          </w:p>
          <w:p w14:paraId="19942D9F" w14:textId="0BD687F2" w:rsidR="00BA323C" w:rsidRPr="006843D6" w:rsidRDefault="00BA323C" w:rsidP="00BA323C">
            <w:pPr>
              <w:pStyle w:val="Paragraphedeliste"/>
              <w:numPr>
                <w:ilvl w:val="0"/>
                <w:numId w:val="16"/>
              </w:numPr>
              <w:jc w:val="both"/>
              <w:rPr>
                <w:rFonts w:ascii="Arial" w:eastAsia="Helvetica Neue" w:hAnsi="Arial" w:cs="Arial"/>
                <w:b/>
                <w:bCs/>
                <w:color w:val="000000"/>
                <w:sz w:val="22"/>
                <w:szCs w:val="22"/>
              </w:rPr>
            </w:pPr>
            <w:r>
              <w:rPr>
                <w:rFonts w:ascii="Arial" w:hAnsi="Arial"/>
                <w:b/>
                <w:bCs/>
                <w:color w:val="000000" w:themeColor="text1"/>
                <w:sz w:val="22"/>
                <w:szCs w:val="22"/>
              </w:rPr>
              <w:t xml:space="preserve">Organic growth in consolidated </w:t>
            </w:r>
            <w:proofErr w:type="gramStart"/>
            <w:r w:rsidR="00995258">
              <w:rPr>
                <w:rFonts w:ascii="Arial" w:hAnsi="Arial"/>
                <w:b/>
                <w:bCs/>
                <w:color w:val="000000" w:themeColor="text1"/>
                <w:sz w:val="22"/>
                <w:szCs w:val="22"/>
              </w:rPr>
              <w:t xml:space="preserve">net </w:t>
            </w:r>
            <w:r>
              <w:rPr>
                <w:rFonts w:ascii="Arial" w:hAnsi="Arial"/>
                <w:b/>
                <w:bCs/>
                <w:color w:val="000000" w:themeColor="text1"/>
                <w:sz w:val="22"/>
                <w:szCs w:val="22"/>
              </w:rPr>
              <w:t xml:space="preserve"> of</w:t>
            </w:r>
            <w:proofErr w:type="gramEnd"/>
            <w:r w:rsidR="00F57DA4">
              <w:rPr>
                <w:rFonts w:ascii="Arial" w:hAnsi="Arial"/>
                <w:b/>
                <w:bCs/>
                <w:color w:val="000000" w:themeColor="text1"/>
                <w:sz w:val="22"/>
                <w:szCs w:val="22"/>
              </w:rPr>
              <w:t xml:space="preserve"> 5.8</w:t>
            </w:r>
            <w:r>
              <w:rPr>
                <w:rFonts w:ascii="Arial" w:hAnsi="Arial"/>
                <w:b/>
                <w:bCs/>
                <w:color w:val="000000" w:themeColor="text1"/>
                <w:sz w:val="22"/>
                <w:szCs w:val="22"/>
              </w:rPr>
              <w:t>%</w:t>
            </w:r>
            <w:r w:rsidR="00F13F3B">
              <w:rPr>
                <w:rFonts w:ascii="Arial" w:hAnsi="Arial"/>
                <w:b/>
                <w:bCs/>
                <w:color w:val="000000" w:themeColor="text1"/>
                <w:sz w:val="22"/>
                <w:szCs w:val="22"/>
              </w:rPr>
              <w:t>,</w:t>
            </w:r>
            <w:r w:rsidRPr="006843D6">
              <w:rPr>
                <w:rStyle w:val="Appelnotedebasdep"/>
                <w:rFonts w:ascii="Arial" w:eastAsia="Helvetica Neue" w:hAnsi="Arial" w:cs="Arial"/>
                <w:b/>
                <w:bCs/>
                <w:color w:val="000000" w:themeColor="text1"/>
                <w:sz w:val="22"/>
                <w:szCs w:val="22"/>
                <w:lang w:val="fr-FR"/>
              </w:rPr>
              <w:footnoteReference w:id="2"/>
            </w:r>
            <w:r>
              <w:rPr>
                <w:rFonts w:ascii="Arial" w:hAnsi="Arial"/>
                <w:b/>
                <w:bCs/>
                <w:color w:val="000000" w:themeColor="text1"/>
                <w:sz w:val="22"/>
                <w:szCs w:val="22"/>
              </w:rPr>
              <w:t xml:space="preserve"> driven by a dynamic fruit segment, </w:t>
            </w:r>
            <w:r w:rsidR="0075568D">
              <w:rPr>
                <w:rFonts w:ascii="Arial" w:hAnsi="Arial"/>
                <w:b/>
                <w:bCs/>
                <w:color w:val="000000" w:themeColor="text1"/>
                <w:sz w:val="22"/>
                <w:szCs w:val="22"/>
              </w:rPr>
              <w:t>resilient</w:t>
            </w:r>
            <w:r w:rsidR="00F13F3B">
              <w:rPr>
                <w:rFonts w:ascii="Arial" w:hAnsi="Arial"/>
                <w:b/>
                <w:bCs/>
                <w:color w:val="000000" w:themeColor="text1"/>
                <w:sz w:val="22"/>
                <w:szCs w:val="22"/>
              </w:rPr>
              <w:t xml:space="preserve"> </w:t>
            </w:r>
            <w:r>
              <w:rPr>
                <w:rFonts w:ascii="Arial" w:hAnsi="Arial"/>
                <w:b/>
                <w:bCs/>
                <w:color w:val="000000" w:themeColor="text1"/>
                <w:sz w:val="22"/>
                <w:szCs w:val="22"/>
              </w:rPr>
              <w:t xml:space="preserve">demand for </w:t>
            </w:r>
            <w:r w:rsidR="00643F42">
              <w:rPr>
                <w:rFonts w:ascii="Arial" w:hAnsi="Arial"/>
                <w:b/>
                <w:bCs/>
                <w:color w:val="000000" w:themeColor="text1"/>
                <w:sz w:val="22"/>
                <w:szCs w:val="22"/>
              </w:rPr>
              <w:t>cheese</w:t>
            </w:r>
            <w:r w:rsidR="00460F6C">
              <w:rPr>
                <w:rFonts w:ascii="Arial" w:hAnsi="Arial"/>
                <w:b/>
                <w:bCs/>
                <w:color w:val="000000" w:themeColor="text1"/>
                <w:sz w:val="22"/>
                <w:szCs w:val="22"/>
              </w:rPr>
              <w:t xml:space="preserve"> products</w:t>
            </w:r>
            <w:r>
              <w:rPr>
                <w:rFonts w:ascii="Arial" w:hAnsi="Arial"/>
                <w:b/>
                <w:bCs/>
                <w:color w:val="000000" w:themeColor="text1"/>
                <w:sz w:val="22"/>
                <w:szCs w:val="22"/>
              </w:rPr>
              <w:t xml:space="preserve"> and a solid performance </w:t>
            </w:r>
            <w:r w:rsidR="0075568D">
              <w:rPr>
                <w:rFonts w:ascii="Arial" w:hAnsi="Arial"/>
                <w:b/>
                <w:bCs/>
                <w:color w:val="000000" w:themeColor="text1"/>
                <w:sz w:val="22"/>
                <w:szCs w:val="22"/>
              </w:rPr>
              <w:t>from</w:t>
            </w:r>
            <w:r>
              <w:rPr>
                <w:rFonts w:ascii="Arial" w:hAnsi="Arial"/>
                <w:b/>
                <w:bCs/>
                <w:color w:val="000000" w:themeColor="text1"/>
                <w:sz w:val="22"/>
                <w:szCs w:val="22"/>
              </w:rPr>
              <w:t xml:space="preserve"> core brands such as GoGo </w:t>
            </w:r>
            <w:r w:rsidRPr="00F57DA4">
              <w:rPr>
                <w:rFonts w:ascii="Arial" w:hAnsi="Arial"/>
                <w:b/>
                <w:bCs/>
                <w:color w:val="000000" w:themeColor="text1"/>
                <w:sz w:val="22"/>
                <w:szCs w:val="22"/>
              </w:rPr>
              <w:t>squee</w:t>
            </w:r>
            <w:r w:rsidR="00F13F3B" w:rsidRPr="00F57DA4">
              <w:rPr>
                <w:rFonts w:ascii="Arial" w:hAnsi="Arial"/>
                <w:b/>
                <w:bCs/>
                <w:color w:val="000000" w:themeColor="text1"/>
                <w:sz w:val="22"/>
                <w:szCs w:val="22"/>
              </w:rPr>
              <w:t>Z</w:t>
            </w:r>
            <w:r w:rsidRPr="00F57DA4">
              <w:rPr>
                <w:rFonts w:ascii="Arial" w:hAnsi="Arial"/>
                <w:b/>
                <w:bCs/>
                <w:color w:val="000000" w:themeColor="text1"/>
                <w:sz w:val="22"/>
                <w:szCs w:val="22"/>
              </w:rPr>
              <w:t>®,</w:t>
            </w:r>
            <w:r>
              <w:rPr>
                <w:rFonts w:ascii="Arial" w:hAnsi="Arial"/>
                <w:b/>
                <w:bCs/>
                <w:color w:val="000000" w:themeColor="text1"/>
                <w:sz w:val="22"/>
                <w:szCs w:val="22"/>
              </w:rPr>
              <w:t xml:space="preserve"> Kiri® and Boursin® </w:t>
            </w:r>
            <w:r>
              <w:rPr>
                <w:rFonts w:ascii="Arial" w:hAnsi="Arial"/>
                <w:b/>
                <w:color w:val="000000" w:themeColor="text1"/>
                <w:sz w:val="22"/>
                <w:szCs w:val="22"/>
              </w:rPr>
              <w:t>internationally</w:t>
            </w:r>
            <w:r>
              <w:rPr>
                <w:rFonts w:ascii="Arial" w:hAnsi="Arial"/>
                <w:b/>
                <w:bCs/>
                <w:color w:val="000000" w:themeColor="text1"/>
                <w:sz w:val="22"/>
                <w:szCs w:val="22"/>
              </w:rPr>
              <w:t>.</w:t>
            </w:r>
          </w:p>
          <w:p w14:paraId="64A6E781" w14:textId="530E4BB8" w:rsidR="00BA323C" w:rsidRPr="00464A40" w:rsidRDefault="00BA323C" w:rsidP="00BA323C">
            <w:pPr>
              <w:pStyle w:val="Paragraphedeliste"/>
              <w:numPr>
                <w:ilvl w:val="1"/>
                <w:numId w:val="16"/>
              </w:numPr>
              <w:jc w:val="both"/>
              <w:rPr>
                <w:rFonts w:ascii="Arial" w:eastAsia="Helvetica Neue" w:hAnsi="Arial" w:cs="Arial"/>
                <w:color w:val="000000"/>
                <w:sz w:val="20"/>
                <w:szCs w:val="20"/>
              </w:rPr>
            </w:pPr>
            <w:r>
              <w:rPr>
                <w:rFonts w:ascii="Arial" w:hAnsi="Arial"/>
                <w:color w:val="000000" w:themeColor="text1"/>
                <w:sz w:val="20"/>
                <w:szCs w:val="20"/>
              </w:rPr>
              <w:t xml:space="preserve">Consolidated </w:t>
            </w:r>
            <w:r w:rsidR="00995258">
              <w:rPr>
                <w:rFonts w:ascii="Arial" w:hAnsi="Arial"/>
                <w:color w:val="000000" w:themeColor="text1"/>
                <w:sz w:val="20"/>
                <w:szCs w:val="20"/>
              </w:rPr>
              <w:t xml:space="preserve">net </w:t>
            </w:r>
            <w:r>
              <w:rPr>
                <w:rFonts w:ascii="Arial" w:hAnsi="Arial"/>
                <w:color w:val="000000" w:themeColor="text1"/>
                <w:sz w:val="20"/>
                <w:szCs w:val="20"/>
              </w:rPr>
              <w:t>sales of</w:t>
            </w:r>
            <w:r w:rsidR="00F57DA4">
              <w:rPr>
                <w:rFonts w:ascii="Arial" w:hAnsi="Arial"/>
                <w:color w:val="000000" w:themeColor="text1"/>
                <w:sz w:val="20"/>
                <w:szCs w:val="20"/>
              </w:rPr>
              <w:t xml:space="preserve"> €3.64 </w:t>
            </w:r>
            <w:r w:rsidR="003031F9">
              <w:rPr>
                <w:rFonts w:ascii="Arial" w:hAnsi="Arial"/>
                <w:color w:val="000000"/>
                <w:sz w:val="20"/>
                <w:szCs w:val="20"/>
              </w:rPr>
              <w:t>billion</w:t>
            </w:r>
            <w:r>
              <w:rPr>
                <w:rFonts w:ascii="Arial" w:hAnsi="Arial"/>
                <w:color w:val="000000" w:themeColor="text1"/>
                <w:sz w:val="20"/>
                <w:szCs w:val="20"/>
              </w:rPr>
              <w:t>, up</w:t>
            </w:r>
            <w:r w:rsidR="00F57DA4">
              <w:rPr>
                <w:rFonts w:ascii="Arial" w:hAnsi="Arial"/>
                <w:color w:val="000000" w:themeColor="text1"/>
                <w:sz w:val="20"/>
                <w:szCs w:val="20"/>
              </w:rPr>
              <w:t xml:space="preserve"> +1.4</w:t>
            </w:r>
            <w:r>
              <w:rPr>
                <w:rFonts w:ascii="Arial" w:hAnsi="Arial"/>
                <w:sz w:val="20"/>
                <w:szCs w:val="20"/>
              </w:rPr>
              <w:t>% as reported</w:t>
            </w:r>
            <w:r w:rsidR="00F13F3B">
              <w:rPr>
                <w:rFonts w:ascii="Arial" w:hAnsi="Arial"/>
                <w:sz w:val="20"/>
                <w:szCs w:val="20"/>
              </w:rPr>
              <w:t>.</w:t>
            </w:r>
          </w:p>
          <w:p w14:paraId="1238C049" w14:textId="77777777" w:rsidR="00BA323C" w:rsidRPr="00E80D3C" w:rsidRDefault="00BA323C" w:rsidP="006843D6">
            <w:pPr>
              <w:pStyle w:val="Paragraphedeliste"/>
              <w:ind w:left="360"/>
              <w:rPr>
                <w:rFonts w:ascii="Arial" w:eastAsia="Helvetica Neue" w:hAnsi="Arial" w:cs="Arial"/>
                <w:b/>
                <w:bCs/>
                <w:color w:val="000000"/>
                <w:sz w:val="22"/>
                <w:szCs w:val="22"/>
                <w:lang w:val="en-GB"/>
              </w:rPr>
            </w:pPr>
          </w:p>
          <w:p w14:paraId="050109C7" w14:textId="2CF91627" w:rsidR="00327AC5" w:rsidRPr="001721B2" w:rsidRDefault="002C2587" w:rsidP="002D64C2">
            <w:pPr>
              <w:pStyle w:val="Paragraphedeliste"/>
              <w:numPr>
                <w:ilvl w:val="0"/>
                <w:numId w:val="16"/>
              </w:numPr>
              <w:rPr>
                <w:rFonts w:ascii="Arial" w:eastAsia="Helvetica Neue" w:hAnsi="Arial" w:cs="Arial"/>
                <w:b/>
                <w:bCs/>
                <w:color w:val="000000"/>
                <w:sz w:val="22"/>
                <w:szCs w:val="22"/>
              </w:rPr>
            </w:pPr>
            <w:r>
              <w:rPr>
                <w:rFonts w:ascii="Arial" w:hAnsi="Arial"/>
                <w:b/>
                <w:bCs/>
                <w:color w:val="000000" w:themeColor="text1"/>
                <w:sz w:val="22"/>
                <w:szCs w:val="22"/>
              </w:rPr>
              <w:t>Solid financial performance, achieved th</w:t>
            </w:r>
            <w:r w:rsidR="00F13F3B">
              <w:rPr>
                <w:rFonts w:ascii="Arial" w:hAnsi="Arial"/>
                <w:b/>
                <w:bCs/>
                <w:color w:val="000000" w:themeColor="text1"/>
                <w:sz w:val="22"/>
                <w:szCs w:val="22"/>
              </w:rPr>
              <w:t>rough</w:t>
            </w:r>
            <w:r>
              <w:rPr>
                <w:rFonts w:ascii="Arial" w:hAnsi="Arial"/>
                <w:b/>
                <w:bCs/>
                <w:color w:val="000000" w:themeColor="text1"/>
                <w:sz w:val="22"/>
                <w:szCs w:val="22"/>
              </w:rPr>
              <w:t xml:space="preserve"> responsible management of price increases and efforts to improve productivity, in an environment still </w:t>
            </w:r>
            <w:r w:rsidR="00B36AB5">
              <w:rPr>
                <w:rFonts w:ascii="Arial" w:hAnsi="Arial"/>
                <w:b/>
                <w:bCs/>
                <w:color w:val="000000" w:themeColor="text1"/>
                <w:sz w:val="22"/>
                <w:szCs w:val="22"/>
              </w:rPr>
              <w:t>impacted</w:t>
            </w:r>
            <w:r>
              <w:rPr>
                <w:rFonts w:ascii="Arial" w:hAnsi="Arial"/>
                <w:b/>
                <w:bCs/>
                <w:color w:val="000000" w:themeColor="text1"/>
                <w:sz w:val="22"/>
                <w:szCs w:val="22"/>
              </w:rPr>
              <w:t xml:space="preserve"> by high inflation:</w:t>
            </w:r>
          </w:p>
          <w:p w14:paraId="63BEDCDA" w14:textId="6F1204D5" w:rsidR="00783F76" w:rsidRPr="00244C88" w:rsidRDefault="00783F76" w:rsidP="002D64C2">
            <w:pPr>
              <w:pStyle w:val="Paragraphedeliste"/>
              <w:numPr>
                <w:ilvl w:val="1"/>
                <w:numId w:val="16"/>
              </w:numPr>
              <w:jc w:val="both"/>
              <w:rPr>
                <w:rFonts w:ascii="Arial" w:eastAsia="Helvetica Neue" w:hAnsi="Arial" w:cs="Arial"/>
                <w:color w:val="000000"/>
                <w:sz w:val="20"/>
                <w:szCs w:val="20"/>
              </w:rPr>
            </w:pPr>
            <w:r>
              <w:rPr>
                <w:rFonts w:ascii="Arial" w:hAnsi="Arial"/>
                <w:color w:val="000000" w:themeColor="text1"/>
                <w:sz w:val="20"/>
                <w:szCs w:val="20"/>
              </w:rPr>
              <w:t>Recurring operating income of €</w:t>
            </w:r>
            <w:r w:rsidR="00681364">
              <w:rPr>
                <w:rFonts w:ascii="Arial" w:hAnsi="Arial"/>
                <w:color w:val="000000" w:themeColor="text1"/>
                <w:sz w:val="20"/>
                <w:szCs w:val="20"/>
              </w:rPr>
              <w:t xml:space="preserve">251 </w:t>
            </w:r>
            <w:r>
              <w:rPr>
                <w:rFonts w:ascii="Arial" w:hAnsi="Arial"/>
                <w:color w:val="000000" w:themeColor="text1"/>
                <w:sz w:val="20"/>
                <w:szCs w:val="20"/>
              </w:rPr>
              <w:t xml:space="preserve">million, </w:t>
            </w:r>
            <w:r w:rsidR="00A50820">
              <w:rPr>
                <w:rFonts w:ascii="Arial" w:hAnsi="Arial"/>
                <w:color w:val="000000" w:themeColor="text1"/>
                <w:sz w:val="20"/>
                <w:szCs w:val="20"/>
              </w:rPr>
              <w:t xml:space="preserve">up 25%, </w:t>
            </w:r>
            <w:r w:rsidR="002409AC">
              <w:rPr>
                <w:rFonts w:ascii="Arial" w:hAnsi="Arial"/>
                <w:color w:val="000000" w:themeColor="text1"/>
                <w:sz w:val="20"/>
                <w:szCs w:val="20"/>
              </w:rPr>
              <w:t xml:space="preserve">representing a </w:t>
            </w:r>
            <w:r w:rsidR="002409AC">
              <w:rPr>
                <w:rFonts w:ascii="Arial" w:hAnsi="Arial"/>
                <w:color w:val="000000"/>
                <w:sz w:val="20"/>
                <w:szCs w:val="20"/>
              </w:rPr>
              <w:t>recurring operating margin of 6.9%</w:t>
            </w:r>
            <w:r w:rsidR="00A50820">
              <w:rPr>
                <w:rFonts w:ascii="Arial" w:hAnsi="Arial"/>
                <w:color w:val="000000"/>
                <w:sz w:val="20"/>
                <w:szCs w:val="20"/>
              </w:rPr>
              <w:t xml:space="preserve"> </w:t>
            </w:r>
            <w:r w:rsidR="002409AC">
              <w:rPr>
                <w:rFonts w:ascii="Arial" w:hAnsi="Arial"/>
                <w:color w:val="000000"/>
                <w:sz w:val="20"/>
                <w:szCs w:val="20"/>
              </w:rPr>
              <w:t xml:space="preserve">and </w:t>
            </w:r>
            <w:r w:rsidR="00F60D54">
              <w:rPr>
                <w:rFonts w:ascii="Arial" w:hAnsi="Arial"/>
                <w:color w:val="000000"/>
                <w:sz w:val="20"/>
                <w:szCs w:val="20"/>
              </w:rPr>
              <w:t xml:space="preserve">a </w:t>
            </w:r>
            <w:r w:rsidR="00F60D54">
              <w:rPr>
                <w:rFonts w:ascii="Arial" w:hAnsi="Arial"/>
                <w:color w:val="000000" w:themeColor="text1"/>
                <w:sz w:val="20"/>
                <w:szCs w:val="20"/>
              </w:rPr>
              <w:t>growth</w:t>
            </w:r>
            <w:r w:rsidR="002409AC">
              <w:rPr>
                <w:rFonts w:ascii="Arial" w:hAnsi="Arial"/>
                <w:color w:val="000000" w:themeColor="text1"/>
                <w:sz w:val="20"/>
                <w:szCs w:val="20"/>
              </w:rPr>
              <w:t xml:space="preserve"> of </w:t>
            </w:r>
            <w:r w:rsidR="002409AC">
              <w:rPr>
                <w:rFonts w:ascii="Arial" w:hAnsi="Arial"/>
                <w:color w:val="000000"/>
                <w:sz w:val="20"/>
                <w:szCs w:val="20"/>
              </w:rPr>
              <w:t>€5</w:t>
            </w:r>
            <w:r w:rsidR="006B77AE">
              <w:rPr>
                <w:rFonts w:ascii="Arial" w:hAnsi="Arial"/>
                <w:color w:val="000000"/>
                <w:sz w:val="20"/>
                <w:szCs w:val="20"/>
              </w:rPr>
              <w:t>0</w:t>
            </w:r>
            <w:r w:rsidR="002409AC">
              <w:rPr>
                <w:rFonts w:ascii="Arial" w:hAnsi="Arial"/>
                <w:color w:val="000000"/>
                <w:sz w:val="20"/>
                <w:szCs w:val="20"/>
              </w:rPr>
              <w:t> million</w:t>
            </w:r>
            <w:r w:rsidR="002409AC">
              <w:rPr>
                <w:rFonts w:ascii="Arial" w:hAnsi="Arial"/>
                <w:color w:val="000000" w:themeColor="text1"/>
                <w:sz w:val="20"/>
                <w:szCs w:val="20"/>
              </w:rPr>
              <w:t xml:space="preserve"> </w:t>
            </w:r>
            <w:r>
              <w:rPr>
                <w:rFonts w:ascii="Arial" w:hAnsi="Arial"/>
                <w:color w:val="000000" w:themeColor="text1"/>
                <w:sz w:val="20"/>
                <w:szCs w:val="20"/>
              </w:rPr>
              <w:t>from 2022 (</w:t>
            </w:r>
            <w:r w:rsidR="002409AC">
              <w:rPr>
                <w:rFonts w:ascii="Arial" w:hAnsi="Arial"/>
                <w:color w:val="000000" w:themeColor="text1"/>
                <w:sz w:val="20"/>
                <w:szCs w:val="20"/>
              </w:rPr>
              <w:t xml:space="preserve">at </w:t>
            </w:r>
            <w:r w:rsidR="00125383">
              <w:rPr>
                <w:rFonts w:ascii="Arial" w:hAnsi="Arial"/>
                <w:color w:val="000000" w:themeColor="text1"/>
                <w:sz w:val="20"/>
                <w:szCs w:val="20"/>
              </w:rPr>
              <w:t>constant perimeter</w:t>
            </w:r>
            <w:r>
              <w:rPr>
                <w:rFonts w:ascii="Arial" w:hAnsi="Arial"/>
                <w:color w:val="000000" w:themeColor="text1"/>
                <w:sz w:val="20"/>
                <w:szCs w:val="20"/>
              </w:rPr>
              <w:t>), reflecting Bel’s responsible, committed growth model and a prior-year performance particularly impacted by inflation</w:t>
            </w:r>
            <w:r w:rsidR="00EE3D12">
              <w:rPr>
                <w:rFonts w:ascii="Arial" w:hAnsi="Arial"/>
                <w:color w:val="000000" w:themeColor="text1"/>
                <w:sz w:val="20"/>
                <w:szCs w:val="20"/>
              </w:rPr>
              <w:t>.</w:t>
            </w:r>
          </w:p>
          <w:p w14:paraId="13EAEAE0" w14:textId="3CC85AF4" w:rsidR="00A65DF6" w:rsidRPr="006B5AA0" w:rsidRDefault="00A65DF6" w:rsidP="002D64C2">
            <w:pPr>
              <w:pStyle w:val="Paragraphedeliste"/>
              <w:numPr>
                <w:ilvl w:val="1"/>
                <w:numId w:val="16"/>
              </w:numPr>
              <w:jc w:val="both"/>
              <w:rPr>
                <w:rFonts w:ascii="Arial" w:eastAsia="Helvetica Neue" w:hAnsi="Arial" w:cs="Arial"/>
                <w:color w:val="000000"/>
                <w:sz w:val="20"/>
                <w:szCs w:val="20"/>
              </w:rPr>
            </w:pPr>
            <w:r>
              <w:rPr>
                <w:rFonts w:ascii="Arial" w:hAnsi="Arial"/>
                <w:color w:val="000000"/>
                <w:sz w:val="20"/>
                <w:szCs w:val="20"/>
              </w:rPr>
              <w:t>Free cash flow of €</w:t>
            </w:r>
            <w:r w:rsidR="00EE3D12">
              <w:rPr>
                <w:rFonts w:ascii="Arial" w:hAnsi="Arial"/>
                <w:color w:val="000000"/>
                <w:sz w:val="20"/>
                <w:szCs w:val="20"/>
              </w:rPr>
              <w:t>55</w:t>
            </w:r>
            <w:r>
              <w:rPr>
                <w:rFonts w:ascii="Arial" w:hAnsi="Arial"/>
                <w:color w:val="000000"/>
                <w:sz w:val="20"/>
                <w:szCs w:val="20"/>
              </w:rPr>
              <w:t> million</w:t>
            </w:r>
            <w:r w:rsidR="00F13F3B">
              <w:rPr>
                <w:rFonts w:ascii="Arial" w:hAnsi="Arial"/>
                <w:color w:val="000000"/>
                <w:sz w:val="20"/>
                <w:szCs w:val="20"/>
              </w:rPr>
              <w:t>.</w:t>
            </w:r>
          </w:p>
          <w:p w14:paraId="0260D41D" w14:textId="77777777" w:rsidR="00885ADD" w:rsidRPr="006843D6" w:rsidRDefault="00885ADD" w:rsidP="00F04896">
            <w:pPr>
              <w:rPr>
                <w:rFonts w:ascii="Arial" w:eastAsia="Helvetica Neue" w:hAnsi="Arial" w:cs="Arial"/>
                <w:b/>
                <w:bCs/>
                <w:color w:val="000000"/>
                <w:sz w:val="20"/>
                <w:szCs w:val="20"/>
              </w:rPr>
            </w:pPr>
          </w:p>
          <w:p w14:paraId="235AB30E" w14:textId="602B661A" w:rsidR="000254DE" w:rsidRPr="006843D6" w:rsidRDefault="00AD7FCB" w:rsidP="002D64C2">
            <w:pPr>
              <w:pStyle w:val="Paragraphedeliste"/>
              <w:numPr>
                <w:ilvl w:val="0"/>
                <w:numId w:val="16"/>
              </w:numPr>
              <w:jc w:val="both"/>
              <w:rPr>
                <w:rFonts w:ascii="Arial" w:eastAsia="Helvetica Neue" w:hAnsi="Arial" w:cs="Arial"/>
                <w:color w:val="000000" w:themeColor="text1"/>
                <w:sz w:val="21"/>
                <w:szCs w:val="21"/>
              </w:rPr>
            </w:pPr>
            <w:r>
              <w:rPr>
                <w:rFonts w:ascii="Arial" w:hAnsi="Arial"/>
                <w:b/>
                <w:bCs/>
                <w:color w:val="000000"/>
                <w:sz w:val="22"/>
                <w:szCs w:val="22"/>
              </w:rPr>
              <w:t>Proven worth</w:t>
            </w:r>
            <w:r w:rsidR="00F13F3B">
              <w:rPr>
                <w:rFonts w:ascii="Arial" w:hAnsi="Arial"/>
                <w:b/>
                <w:bCs/>
                <w:color w:val="000000"/>
                <w:sz w:val="22"/>
                <w:szCs w:val="22"/>
              </w:rPr>
              <w:t xml:space="preserve"> </w:t>
            </w:r>
            <w:r w:rsidR="00906AC0">
              <w:rPr>
                <w:rFonts w:ascii="Arial" w:hAnsi="Arial"/>
                <w:b/>
                <w:bCs/>
                <w:color w:val="000000"/>
                <w:sz w:val="22"/>
                <w:szCs w:val="22"/>
              </w:rPr>
              <w:t>of Bel’s diversification strategy:</w:t>
            </w:r>
          </w:p>
          <w:p w14:paraId="6993F235" w14:textId="03F8C9CC" w:rsidR="000254DE" w:rsidRPr="002D64C2" w:rsidRDefault="000254DE" w:rsidP="002D64C2">
            <w:pPr>
              <w:pStyle w:val="Paragraphedeliste"/>
              <w:numPr>
                <w:ilvl w:val="1"/>
                <w:numId w:val="16"/>
              </w:numPr>
              <w:jc w:val="both"/>
              <w:rPr>
                <w:rFonts w:ascii="Arial" w:eastAsia="Helvetica Neue" w:hAnsi="Arial" w:cs="Arial"/>
                <w:color w:val="000000" w:themeColor="text1"/>
                <w:sz w:val="20"/>
                <w:szCs w:val="20"/>
              </w:rPr>
            </w:pPr>
            <w:r>
              <w:rPr>
                <w:rFonts w:ascii="Arial" w:hAnsi="Arial"/>
                <w:color w:val="000000" w:themeColor="text1"/>
                <w:sz w:val="20"/>
                <w:szCs w:val="20"/>
              </w:rPr>
              <w:t>Further strong growth in the fruit segment</w:t>
            </w:r>
            <w:r w:rsidR="00BC5424">
              <w:rPr>
                <w:rStyle w:val="Appelnotedebasdep"/>
                <w:rFonts w:ascii="Arial" w:eastAsia="Helvetica Neue" w:hAnsi="Arial" w:cs="Arial"/>
                <w:color w:val="000000" w:themeColor="text1"/>
                <w:sz w:val="20"/>
                <w:szCs w:val="20"/>
                <w:lang w:val="fr-FR"/>
              </w:rPr>
              <w:footnoteReference w:id="3"/>
            </w:r>
            <w:r>
              <w:rPr>
                <w:rFonts w:ascii="Arial" w:hAnsi="Arial"/>
                <w:color w:val="000000" w:themeColor="text1"/>
                <w:sz w:val="20"/>
                <w:szCs w:val="20"/>
              </w:rPr>
              <w:t xml:space="preserve"> across all geographies</w:t>
            </w:r>
          </w:p>
          <w:p w14:paraId="6BBFB816" w14:textId="375D20F7" w:rsidR="000254DE" w:rsidRPr="002D64C2" w:rsidRDefault="000254DE" w:rsidP="002D64C2">
            <w:pPr>
              <w:pStyle w:val="Paragraphedeliste"/>
              <w:numPr>
                <w:ilvl w:val="1"/>
                <w:numId w:val="16"/>
              </w:numPr>
              <w:jc w:val="both"/>
              <w:rPr>
                <w:rFonts w:ascii="Arial" w:eastAsia="Helvetica Neue" w:hAnsi="Arial" w:cs="Arial"/>
                <w:color w:val="000000" w:themeColor="text1"/>
                <w:sz w:val="20"/>
                <w:szCs w:val="20"/>
              </w:rPr>
            </w:pPr>
            <w:r>
              <w:rPr>
                <w:rFonts w:ascii="Arial" w:hAnsi="Arial"/>
                <w:color w:val="000000" w:themeColor="text1"/>
                <w:sz w:val="20"/>
                <w:szCs w:val="20"/>
              </w:rPr>
              <w:t xml:space="preserve">Very sharp growth in China, notably thanks to </w:t>
            </w:r>
            <w:r>
              <w:rPr>
                <w:rFonts w:ascii="Arial" w:hAnsi="Arial"/>
                <w:color w:val="000000" w:themeColor="text1"/>
                <w:sz w:val="22"/>
                <w:szCs w:val="22"/>
              </w:rPr>
              <w:t>Kiri®</w:t>
            </w:r>
            <w:r w:rsidR="004D79B0">
              <w:rPr>
                <w:rFonts w:ascii="Arial" w:hAnsi="Arial"/>
                <w:color w:val="000000" w:themeColor="text1"/>
                <w:sz w:val="22"/>
                <w:szCs w:val="22"/>
              </w:rPr>
              <w:t>.</w:t>
            </w:r>
          </w:p>
          <w:p w14:paraId="35062638" w14:textId="0BECA459" w:rsidR="000254DE" w:rsidRPr="002D64C2" w:rsidRDefault="000254DE" w:rsidP="002D64C2">
            <w:pPr>
              <w:pStyle w:val="Paragraphedeliste"/>
              <w:numPr>
                <w:ilvl w:val="1"/>
                <w:numId w:val="16"/>
              </w:numPr>
              <w:jc w:val="both"/>
              <w:rPr>
                <w:rFonts w:ascii="Arial" w:eastAsia="Helvetica Neue" w:hAnsi="Arial" w:cs="Arial"/>
                <w:color w:val="000000" w:themeColor="text1"/>
                <w:sz w:val="20"/>
                <w:szCs w:val="20"/>
              </w:rPr>
            </w:pPr>
            <w:r>
              <w:rPr>
                <w:rFonts w:ascii="Arial" w:hAnsi="Arial"/>
                <w:color w:val="000000" w:themeColor="text1"/>
                <w:sz w:val="20"/>
                <w:szCs w:val="20"/>
              </w:rPr>
              <w:t xml:space="preserve">Good momentum in the </w:t>
            </w:r>
            <w:r w:rsidR="00F64099">
              <w:rPr>
                <w:rFonts w:ascii="Arial" w:hAnsi="Arial"/>
                <w:color w:val="000000" w:themeColor="text1"/>
                <w:sz w:val="20"/>
                <w:szCs w:val="20"/>
              </w:rPr>
              <w:t>E</w:t>
            </w:r>
            <w:r>
              <w:rPr>
                <w:rFonts w:ascii="Arial" w:hAnsi="Arial"/>
                <w:color w:val="000000" w:themeColor="text1"/>
                <w:sz w:val="20"/>
                <w:szCs w:val="20"/>
              </w:rPr>
              <w:t xml:space="preserve">-commerce and </w:t>
            </w:r>
            <w:r w:rsidR="00F64099">
              <w:rPr>
                <w:rFonts w:ascii="Arial" w:hAnsi="Arial"/>
                <w:color w:val="000000" w:themeColor="text1"/>
                <w:sz w:val="20"/>
                <w:szCs w:val="20"/>
              </w:rPr>
              <w:t>O</w:t>
            </w:r>
            <w:r>
              <w:rPr>
                <w:rFonts w:ascii="Arial" w:hAnsi="Arial"/>
                <w:color w:val="000000" w:themeColor="text1"/>
                <w:sz w:val="20"/>
                <w:szCs w:val="20"/>
              </w:rPr>
              <w:t>ut-of-</w:t>
            </w:r>
            <w:r w:rsidR="00F65F8A">
              <w:rPr>
                <w:rFonts w:ascii="Arial" w:hAnsi="Arial"/>
                <w:color w:val="000000" w:themeColor="text1"/>
                <w:sz w:val="20"/>
                <w:szCs w:val="20"/>
              </w:rPr>
              <w:t>H</w:t>
            </w:r>
            <w:r>
              <w:rPr>
                <w:rFonts w:ascii="Arial" w:hAnsi="Arial"/>
                <w:color w:val="000000" w:themeColor="text1"/>
                <w:sz w:val="20"/>
                <w:szCs w:val="20"/>
              </w:rPr>
              <w:t>ome (OOH) distribution channels</w:t>
            </w:r>
            <w:r w:rsidR="00F13F3B">
              <w:rPr>
                <w:rFonts w:ascii="Arial" w:hAnsi="Arial"/>
                <w:color w:val="000000" w:themeColor="text1"/>
                <w:sz w:val="20"/>
                <w:szCs w:val="20"/>
              </w:rPr>
              <w:t>.</w:t>
            </w:r>
          </w:p>
          <w:p w14:paraId="43A2F52D" w14:textId="77777777" w:rsidR="009D27A5" w:rsidRPr="00E80D3C" w:rsidRDefault="009D27A5" w:rsidP="009D27A5">
            <w:pPr>
              <w:pStyle w:val="Paragraphedeliste"/>
              <w:ind w:left="1080"/>
              <w:jc w:val="both"/>
              <w:rPr>
                <w:rFonts w:ascii="Arial" w:eastAsia="Helvetica Neue" w:hAnsi="Arial" w:cs="Arial"/>
                <w:color w:val="000000" w:themeColor="text1"/>
                <w:sz w:val="20"/>
                <w:szCs w:val="20"/>
                <w:lang w:val="en-GB"/>
              </w:rPr>
            </w:pPr>
          </w:p>
          <w:p w14:paraId="4F78E452" w14:textId="342A72F6" w:rsidR="0077022F" w:rsidRPr="006B5AA0" w:rsidRDefault="00A50820" w:rsidP="00B46211">
            <w:pPr>
              <w:pStyle w:val="Paragraphedeliste"/>
              <w:numPr>
                <w:ilvl w:val="0"/>
                <w:numId w:val="16"/>
              </w:numPr>
              <w:jc w:val="both"/>
              <w:rPr>
                <w:rFonts w:ascii="Arial" w:eastAsia="Helvetica Neue" w:hAnsi="Arial" w:cs="Arial"/>
                <w:b/>
                <w:bCs/>
                <w:color w:val="000000"/>
                <w:sz w:val="22"/>
                <w:szCs w:val="22"/>
              </w:rPr>
            </w:pPr>
            <w:r>
              <w:rPr>
                <w:rFonts w:ascii="Arial" w:hAnsi="Arial"/>
                <w:b/>
                <w:bCs/>
                <w:color w:val="000000"/>
                <w:sz w:val="22"/>
                <w:szCs w:val="22"/>
              </w:rPr>
              <w:t>C</w:t>
            </w:r>
            <w:r w:rsidR="008E5926" w:rsidRPr="008E5926">
              <w:rPr>
                <w:rFonts w:ascii="Arial" w:hAnsi="Arial"/>
                <w:b/>
                <w:bCs/>
                <w:color w:val="000000"/>
                <w:sz w:val="22"/>
                <w:szCs w:val="22"/>
              </w:rPr>
              <w:t>ommitment to CSR that confirms the Group's ambition and its unique model for supporting the dairy industry</w:t>
            </w:r>
            <w:r w:rsidR="004D68E1">
              <w:rPr>
                <w:rFonts w:ascii="Arial" w:hAnsi="Arial"/>
                <w:b/>
                <w:bCs/>
                <w:color w:val="000000"/>
                <w:sz w:val="22"/>
                <w:szCs w:val="22"/>
              </w:rPr>
              <w:t xml:space="preserve">: </w:t>
            </w:r>
          </w:p>
          <w:p w14:paraId="1098A238" w14:textId="001B3221" w:rsidR="000C38BD" w:rsidRPr="00B23E9A" w:rsidRDefault="005041D1" w:rsidP="002D64C2">
            <w:pPr>
              <w:pStyle w:val="Paragraphedeliste"/>
              <w:numPr>
                <w:ilvl w:val="1"/>
                <w:numId w:val="16"/>
              </w:numPr>
              <w:rPr>
                <w:rFonts w:ascii="Arial" w:eastAsia="Helvetica Neue" w:hAnsi="Arial" w:cs="Arial"/>
                <w:b/>
                <w:bCs/>
                <w:color w:val="000000"/>
                <w:sz w:val="22"/>
                <w:szCs w:val="22"/>
              </w:rPr>
            </w:pPr>
            <w:r>
              <w:rPr>
                <w:rFonts w:ascii="Arial" w:hAnsi="Arial"/>
                <w:color w:val="000000" w:themeColor="text1"/>
                <w:sz w:val="20"/>
                <w:szCs w:val="20"/>
              </w:rPr>
              <w:t>Introduction in 2023 of pilot projects to reduce dairy cow methane emissions by deploying the Bovaer® solution</w:t>
            </w:r>
            <w:r w:rsidR="002409AC">
              <w:rPr>
                <w:rFonts w:ascii="Arial" w:hAnsi="Arial"/>
                <w:color w:val="000000" w:themeColor="text1"/>
                <w:sz w:val="20"/>
                <w:szCs w:val="20"/>
              </w:rPr>
              <w:t>.</w:t>
            </w:r>
          </w:p>
          <w:p w14:paraId="10C66F24" w14:textId="3EDDC0E3" w:rsidR="00DB325C" w:rsidRPr="00453789" w:rsidRDefault="008E5926" w:rsidP="002D64C2">
            <w:pPr>
              <w:pStyle w:val="Paragraphedeliste"/>
              <w:numPr>
                <w:ilvl w:val="1"/>
                <w:numId w:val="16"/>
              </w:numPr>
              <w:rPr>
                <w:rFonts w:ascii="Arial" w:eastAsia="Helvetica Neue" w:hAnsi="Arial" w:cs="Arial"/>
                <w:b/>
                <w:bCs/>
                <w:color w:val="000000"/>
                <w:sz w:val="22"/>
                <w:szCs w:val="22"/>
              </w:rPr>
            </w:pPr>
            <w:r>
              <w:rPr>
                <w:rFonts w:ascii="Arial" w:hAnsi="Arial"/>
                <w:sz w:val="20"/>
                <w:szCs w:val="20"/>
              </w:rPr>
              <w:t>7</w:t>
            </w:r>
            <w:r w:rsidRPr="008E5926">
              <w:rPr>
                <w:rFonts w:ascii="Arial" w:hAnsi="Arial"/>
                <w:sz w:val="20"/>
                <w:szCs w:val="20"/>
                <w:vertAlign w:val="superscript"/>
              </w:rPr>
              <w:t>th</w:t>
            </w:r>
            <w:r>
              <w:rPr>
                <w:rFonts w:ascii="Arial" w:hAnsi="Arial"/>
                <w:sz w:val="20"/>
                <w:szCs w:val="20"/>
              </w:rPr>
              <w:t xml:space="preserve"> year r</w:t>
            </w:r>
            <w:r w:rsidR="00DB325C">
              <w:rPr>
                <w:rFonts w:ascii="Arial" w:hAnsi="Arial"/>
                <w:sz w:val="20"/>
                <w:szCs w:val="20"/>
              </w:rPr>
              <w:t>enewal of annual agreement between Bel and APBO to promote a more sustainable approach to French agriculture and food production</w:t>
            </w:r>
            <w:r w:rsidR="002409AC">
              <w:rPr>
                <w:rFonts w:ascii="Arial" w:hAnsi="Arial"/>
                <w:sz w:val="20"/>
                <w:szCs w:val="20"/>
              </w:rPr>
              <w:t>.</w:t>
            </w:r>
          </w:p>
          <w:p w14:paraId="561C108B" w14:textId="12A9EE3A" w:rsidR="00B23E9A" w:rsidRPr="002409AC" w:rsidRDefault="00B23E9A" w:rsidP="002D64C2">
            <w:pPr>
              <w:pStyle w:val="Paragraphedeliste"/>
              <w:numPr>
                <w:ilvl w:val="1"/>
                <w:numId w:val="16"/>
              </w:numPr>
              <w:rPr>
                <w:rFonts w:ascii="Arial" w:eastAsia="Helvetica Neue" w:hAnsi="Arial" w:cs="Arial"/>
                <w:b/>
                <w:bCs/>
                <w:color w:val="000000"/>
                <w:sz w:val="22"/>
                <w:szCs w:val="22"/>
              </w:rPr>
            </w:pPr>
            <w:r>
              <w:rPr>
                <w:rFonts w:ascii="Arial" w:hAnsi="Arial"/>
                <w:sz w:val="20"/>
                <w:szCs w:val="20"/>
              </w:rPr>
              <w:t>Investment in a biomass boiler, fueled by organic matter instead of oil, at the plant in Tangier, Morocco</w:t>
            </w:r>
            <w:r w:rsidR="00F13F3B">
              <w:rPr>
                <w:rFonts w:ascii="Arial" w:hAnsi="Arial"/>
                <w:sz w:val="20"/>
                <w:szCs w:val="20"/>
              </w:rPr>
              <w:t>.</w:t>
            </w:r>
          </w:p>
          <w:p w14:paraId="5D433416" w14:textId="139F01D0" w:rsidR="00906AC0" w:rsidRPr="002409AC" w:rsidRDefault="002409AC" w:rsidP="002409AC">
            <w:pPr>
              <w:pStyle w:val="Paragraphedeliste"/>
              <w:numPr>
                <w:ilvl w:val="1"/>
                <w:numId w:val="16"/>
              </w:numPr>
              <w:rPr>
                <w:rFonts w:ascii="Arial" w:hAnsi="Arial"/>
                <w:sz w:val="20"/>
                <w:szCs w:val="20"/>
              </w:rPr>
            </w:pPr>
            <w:r>
              <w:rPr>
                <w:rFonts w:ascii="Arial" w:hAnsi="Arial"/>
                <w:sz w:val="20"/>
                <w:szCs w:val="20"/>
              </w:rPr>
              <w:t>R</w:t>
            </w:r>
            <w:r w:rsidRPr="002409AC">
              <w:rPr>
                <w:rFonts w:ascii="Arial" w:hAnsi="Arial"/>
                <w:sz w:val="20"/>
                <w:szCs w:val="20"/>
              </w:rPr>
              <w:t xml:space="preserve">esolution </w:t>
            </w:r>
            <w:r>
              <w:rPr>
                <w:rFonts w:ascii="Arial" w:hAnsi="Arial"/>
                <w:sz w:val="20"/>
                <w:szCs w:val="20"/>
              </w:rPr>
              <w:t>p</w:t>
            </w:r>
            <w:r w:rsidRPr="002409AC">
              <w:rPr>
                <w:rFonts w:ascii="Arial" w:hAnsi="Arial"/>
                <w:sz w:val="20"/>
                <w:szCs w:val="20"/>
              </w:rPr>
              <w:t>ropos</w:t>
            </w:r>
            <w:r w:rsidR="002F5F30">
              <w:rPr>
                <w:rFonts w:ascii="Arial" w:hAnsi="Arial"/>
                <w:sz w:val="20"/>
                <w:szCs w:val="20"/>
              </w:rPr>
              <w:t>ed by</w:t>
            </w:r>
            <w:r>
              <w:rPr>
                <w:rFonts w:ascii="Arial" w:hAnsi="Arial"/>
                <w:sz w:val="20"/>
                <w:szCs w:val="20"/>
              </w:rPr>
              <w:t xml:space="preserve"> t</w:t>
            </w:r>
            <w:r w:rsidRPr="002409AC">
              <w:rPr>
                <w:rFonts w:ascii="Arial" w:hAnsi="Arial"/>
                <w:sz w:val="20"/>
                <w:szCs w:val="20"/>
              </w:rPr>
              <w:t>he Board of Directors on February 29, 2024, for the adoption of the mission-driven company status at the upcoming shareholders' general meeting.</w:t>
            </w:r>
          </w:p>
          <w:p w14:paraId="1DAFE43B" w14:textId="297AFF2F" w:rsidR="003342BB" w:rsidRPr="00E80D3C" w:rsidRDefault="003342BB" w:rsidP="00906AC0">
            <w:pPr>
              <w:jc w:val="both"/>
              <w:rPr>
                <w:rFonts w:ascii="Arial" w:eastAsia="Helvetica Neue" w:hAnsi="Arial" w:cs="Arial"/>
                <w:b/>
                <w:bCs/>
                <w:color w:val="000000"/>
                <w:sz w:val="10"/>
                <w:szCs w:val="10"/>
                <w:lang w:val="en-GB"/>
              </w:rPr>
            </w:pPr>
          </w:p>
        </w:tc>
      </w:tr>
      <w:tr w:rsidR="00F64099" w:rsidRPr="000E2760" w14:paraId="0F4FF0DA" w14:textId="77777777" w:rsidTr="005E2594">
        <w:tc>
          <w:tcPr>
            <w:tcW w:w="9751" w:type="dxa"/>
          </w:tcPr>
          <w:p w14:paraId="26DD353B" w14:textId="77777777" w:rsidR="00F64099" w:rsidRPr="00E80D3C" w:rsidRDefault="00F64099" w:rsidP="005B206D">
            <w:pPr>
              <w:pStyle w:val="Paragraphedeliste"/>
              <w:rPr>
                <w:rFonts w:ascii="Arial" w:eastAsia="Helvetica Neue" w:hAnsi="Arial" w:cs="Arial"/>
                <w:b/>
                <w:bCs/>
                <w:color w:val="000000"/>
                <w:sz w:val="10"/>
                <w:szCs w:val="10"/>
                <w:lang w:val="en-GB"/>
              </w:rPr>
            </w:pPr>
          </w:p>
        </w:tc>
      </w:tr>
    </w:tbl>
    <w:p w14:paraId="5ED12956" w14:textId="5ADC34DF" w:rsidR="00CC29E1" w:rsidRPr="001721B2" w:rsidRDefault="003342BB" w:rsidP="00B9405E">
      <w:pPr>
        <w:jc w:val="both"/>
        <w:rPr>
          <w:rFonts w:ascii="Arial" w:eastAsia="Helvetica Neue" w:hAnsi="Arial" w:cs="Arial"/>
          <w:i/>
          <w:color w:val="000000"/>
          <w:sz w:val="16"/>
          <w:szCs w:val="16"/>
          <w:highlight w:val="white"/>
        </w:rPr>
      </w:pPr>
      <w:r>
        <w:rPr>
          <w:rFonts w:ascii="Arial" w:hAnsi="Arial"/>
          <w:i/>
          <w:color w:val="000000"/>
          <w:sz w:val="16"/>
          <w:szCs w:val="16"/>
          <w:highlight w:val="white"/>
        </w:rPr>
        <w:t>Amounts are expressed in millions of euros and rounded off to the nearest million. Ratios and variances are calculated based on underlying amounts, not rounded-off amounts.</w:t>
      </w:r>
    </w:p>
    <w:p w14:paraId="617DE688" w14:textId="7BF8E0B0" w:rsidR="00752582" w:rsidRPr="008A7A32" w:rsidRDefault="00E3578A" w:rsidP="008A7A32">
      <w:pPr>
        <w:pStyle w:val="NormalWeb"/>
        <w:jc w:val="both"/>
        <w:rPr>
          <w:rFonts w:ascii="Arial" w:eastAsia="Helvetica Neue" w:hAnsi="Arial" w:cs="Arial"/>
          <w:b/>
          <w:color w:val="000000"/>
          <w:sz w:val="20"/>
          <w:szCs w:val="20"/>
        </w:rPr>
      </w:pPr>
      <w:r>
        <w:rPr>
          <w:rFonts w:ascii="ArialMT" w:hAnsi="ArialMT"/>
          <w:sz w:val="20"/>
          <w:szCs w:val="20"/>
        </w:rPr>
        <w:lastRenderedPageBreak/>
        <w:t xml:space="preserve">Bel's Board of Directors approved the consolidated financial statements for the year ended December 31, 2023 at its February 29, 2024 meeting chaired by </w:t>
      </w:r>
      <w:r w:rsidRPr="002952BA">
        <w:rPr>
          <w:rFonts w:ascii="ArialMT" w:hAnsi="ArialMT"/>
          <w:sz w:val="20"/>
          <w:szCs w:val="20"/>
        </w:rPr>
        <w:t>Antoine Fi</w:t>
      </w:r>
      <w:r w:rsidR="00F13F3B" w:rsidRPr="002952BA">
        <w:rPr>
          <w:rFonts w:ascii="ArialMT" w:hAnsi="ArialMT"/>
          <w:sz w:val="20"/>
          <w:szCs w:val="20"/>
        </w:rPr>
        <w:t>é</w:t>
      </w:r>
      <w:r w:rsidRPr="002952BA">
        <w:rPr>
          <w:rFonts w:ascii="ArialMT" w:hAnsi="ArialMT"/>
          <w:sz w:val="20"/>
          <w:szCs w:val="20"/>
        </w:rPr>
        <w:t>vet.</w:t>
      </w:r>
      <w:r>
        <w:rPr>
          <w:rFonts w:ascii="ArialMT" w:hAnsi="ArialMT"/>
          <w:sz w:val="20"/>
          <w:szCs w:val="20"/>
        </w:rPr>
        <w:t xml:space="preserve"> </w:t>
      </w:r>
    </w:p>
    <w:p w14:paraId="3AAFE54A" w14:textId="4DF625A5" w:rsidR="008A7A32" w:rsidRPr="00ED30C6" w:rsidRDefault="00752582" w:rsidP="00160E9E">
      <w:pPr>
        <w:jc w:val="both"/>
        <w:rPr>
          <w:rFonts w:ascii="Arial" w:eastAsia="Helvetica Neue" w:hAnsi="Arial" w:cs="Arial"/>
          <w:i/>
          <w:iCs/>
          <w:color w:val="000000"/>
          <w:sz w:val="20"/>
          <w:szCs w:val="20"/>
        </w:rPr>
      </w:pPr>
      <w:r w:rsidRPr="002952BA">
        <w:rPr>
          <w:rFonts w:ascii="Arial" w:hAnsi="Arial"/>
          <w:b/>
          <w:bCs/>
          <w:color w:val="000000"/>
          <w:sz w:val="20"/>
          <w:szCs w:val="20"/>
        </w:rPr>
        <w:t>Antoine Fiévet,</w:t>
      </w:r>
      <w:r>
        <w:rPr>
          <w:rFonts w:ascii="Arial" w:hAnsi="Arial"/>
          <w:b/>
          <w:bCs/>
          <w:color w:val="000000"/>
          <w:sz w:val="20"/>
          <w:szCs w:val="20"/>
        </w:rPr>
        <w:t xml:space="preserve"> Chairman of Bel</w:t>
      </w:r>
      <w:r>
        <w:rPr>
          <w:rFonts w:ascii="Arial" w:hAnsi="Arial"/>
          <w:color w:val="000000"/>
          <w:sz w:val="20"/>
          <w:szCs w:val="20"/>
        </w:rPr>
        <w:t>, commented:</w:t>
      </w:r>
      <w:r>
        <w:rPr>
          <w:rFonts w:ascii="Arial" w:hAnsi="Arial"/>
          <w:b/>
          <w:bCs/>
          <w:color w:val="000000"/>
          <w:sz w:val="20"/>
          <w:szCs w:val="20"/>
        </w:rPr>
        <w:t xml:space="preserve"> </w:t>
      </w:r>
      <w:r>
        <w:rPr>
          <w:rFonts w:ascii="Arial" w:hAnsi="Arial"/>
          <w:sz w:val="20"/>
          <w:szCs w:val="20"/>
        </w:rPr>
        <w:t xml:space="preserve">“Bel performed well in 2023 despite the challenging economic environment, demonstrating the resilience of our brands and the effectiveness of our portfolio </w:t>
      </w:r>
      <w:r w:rsidR="00B54084">
        <w:rPr>
          <w:rFonts w:ascii="Arial" w:hAnsi="Arial"/>
          <w:sz w:val="20"/>
          <w:szCs w:val="20"/>
        </w:rPr>
        <w:t xml:space="preserve">diversification strategy </w:t>
      </w:r>
      <w:r>
        <w:rPr>
          <w:rFonts w:ascii="Arial" w:hAnsi="Arial"/>
          <w:sz w:val="20"/>
          <w:szCs w:val="20"/>
        </w:rPr>
        <w:t xml:space="preserve">and </w:t>
      </w:r>
      <w:r w:rsidR="002409AC">
        <w:rPr>
          <w:rFonts w:ascii="Arial" w:hAnsi="Arial"/>
          <w:sz w:val="20"/>
          <w:szCs w:val="20"/>
        </w:rPr>
        <w:t xml:space="preserve">our </w:t>
      </w:r>
      <w:r>
        <w:rPr>
          <w:rFonts w:ascii="Arial" w:hAnsi="Arial"/>
          <w:sz w:val="20"/>
          <w:szCs w:val="20"/>
        </w:rPr>
        <w:t>geographi</w:t>
      </w:r>
      <w:r w:rsidR="002409AC">
        <w:rPr>
          <w:rFonts w:ascii="Arial" w:hAnsi="Arial"/>
          <w:sz w:val="20"/>
          <w:szCs w:val="20"/>
        </w:rPr>
        <w:t>cal footprint</w:t>
      </w:r>
      <w:r>
        <w:rPr>
          <w:rFonts w:ascii="Arial" w:hAnsi="Arial"/>
          <w:sz w:val="20"/>
          <w:szCs w:val="20"/>
        </w:rPr>
        <w:t>.</w:t>
      </w:r>
      <w:r>
        <w:rPr>
          <w:rFonts w:ascii="Arial" w:hAnsi="Arial"/>
          <w:i/>
          <w:iCs/>
          <w:sz w:val="20"/>
          <w:szCs w:val="20"/>
        </w:rPr>
        <w:t xml:space="preserve"> </w:t>
      </w:r>
      <w:r w:rsidR="008E5926" w:rsidRPr="008E5926">
        <w:rPr>
          <w:rFonts w:ascii="Arial" w:hAnsi="Arial"/>
          <w:sz w:val="20"/>
          <w:szCs w:val="20"/>
        </w:rPr>
        <w:t xml:space="preserve">I </w:t>
      </w:r>
      <w:r w:rsidR="008E5926">
        <w:rPr>
          <w:rFonts w:ascii="Arial" w:hAnsi="Arial"/>
          <w:sz w:val="20"/>
          <w:szCs w:val="20"/>
        </w:rPr>
        <w:t xml:space="preserve">thank our </w:t>
      </w:r>
      <w:r w:rsidR="008E5926" w:rsidRPr="008E5926">
        <w:rPr>
          <w:rFonts w:ascii="Arial" w:hAnsi="Arial"/>
          <w:sz w:val="20"/>
          <w:szCs w:val="20"/>
        </w:rPr>
        <w:t xml:space="preserve">teams </w:t>
      </w:r>
      <w:r w:rsidR="008E5926">
        <w:rPr>
          <w:rFonts w:ascii="Arial" w:hAnsi="Arial"/>
          <w:sz w:val="20"/>
          <w:szCs w:val="20"/>
        </w:rPr>
        <w:t xml:space="preserve">for their </w:t>
      </w:r>
      <w:r w:rsidR="008E5926" w:rsidRPr="008E5926">
        <w:rPr>
          <w:rFonts w:ascii="Arial" w:hAnsi="Arial"/>
          <w:sz w:val="20"/>
          <w:szCs w:val="20"/>
        </w:rPr>
        <w:t>contribut</w:t>
      </w:r>
      <w:r w:rsidR="008E5926">
        <w:rPr>
          <w:rFonts w:ascii="Arial" w:hAnsi="Arial"/>
          <w:sz w:val="20"/>
          <w:szCs w:val="20"/>
        </w:rPr>
        <w:t>ion</w:t>
      </w:r>
      <w:r w:rsidR="008E5926" w:rsidRPr="008E5926">
        <w:rPr>
          <w:rFonts w:ascii="Arial" w:hAnsi="Arial"/>
          <w:sz w:val="20"/>
          <w:szCs w:val="20"/>
        </w:rPr>
        <w:t xml:space="preserve"> to improving the results and supporting the Group's ambitions.</w:t>
      </w:r>
      <w:r w:rsidR="008E5926" w:rsidRPr="008E5926">
        <w:rPr>
          <w:rFonts w:ascii="Arial" w:hAnsi="Arial"/>
          <w:i/>
          <w:iCs/>
          <w:sz w:val="20"/>
          <w:szCs w:val="20"/>
        </w:rPr>
        <w:t xml:space="preserve"> </w:t>
      </w:r>
      <w:r>
        <w:rPr>
          <w:rFonts w:ascii="Arial" w:hAnsi="Arial"/>
          <w:sz w:val="20"/>
          <w:szCs w:val="20"/>
        </w:rPr>
        <w:t xml:space="preserve">With our unique business model and our dual focus on financial and non-financial performance, </w:t>
      </w:r>
      <w:r w:rsidR="00160E9E">
        <w:rPr>
          <w:rFonts w:ascii="Arial" w:hAnsi="Arial"/>
          <w:sz w:val="20"/>
          <w:szCs w:val="20"/>
        </w:rPr>
        <w:t>t</w:t>
      </w:r>
      <w:r w:rsidR="00160E9E" w:rsidRPr="00160E9E">
        <w:rPr>
          <w:rFonts w:ascii="Arial" w:hAnsi="Arial"/>
          <w:sz w:val="20"/>
          <w:szCs w:val="20"/>
        </w:rPr>
        <w:t>he board of directors will propose a resolution at the next shareholders' general meeting for the adoption of the mission-driven company status</w:t>
      </w:r>
      <w:r w:rsidR="008E5926">
        <w:rPr>
          <w:rFonts w:ascii="Arial" w:hAnsi="Arial"/>
          <w:sz w:val="20"/>
          <w:szCs w:val="20"/>
        </w:rPr>
        <w:t>,</w:t>
      </w:r>
      <w:r w:rsidR="006134F8">
        <w:rPr>
          <w:rFonts w:ascii="Arial" w:hAnsi="Arial"/>
          <w:sz w:val="20"/>
          <w:szCs w:val="20"/>
        </w:rPr>
        <w:t xml:space="preserve"> </w:t>
      </w:r>
      <w:r w:rsidR="008E5926" w:rsidRPr="008E5926">
        <w:rPr>
          <w:rFonts w:ascii="Arial" w:hAnsi="Arial"/>
          <w:sz w:val="20"/>
          <w:szCs w:val="20"/>
        </w:rPr>
        <w:t>marking the culmination of twenty years of CSR commitment</w:t>
      </w:r>
      <w:r>
        <w:rPr>
          <w:rFonts w:ascii="Arial" w:hAnsi="Arial"/>
          <w:sz w:val="20"/>
          <w:szCs w:val="20"/>
        </w:rPr>
        <w:t>.”</w:t>
      </w:r>
    </w:p>
    <w:p w14:paraId="195B8715" w14:textId="77777777" w:rsidR="00752582" w:rsidRPr="00E80D3C" w:rsidRDefault="00752582" w:rsidP="002955FA">
      <w:pPr>
        <w:jc w:val="both"/>
        <w:rPr>
          <w:rFonts w:ascii="Arial" w:eastAsia="Helvetica Neue" w:hAnsi="Arial" w:cs="Arial"/>
          <w:b/>
          <w:bCs/>
          <w:color w:val="000000"/>
          <w:sz w:val="20"/>
          <w:szCs w:val="20"/>
          <w:highlight w:val="yellow"/>
          <w:lang w:val="en-GB"/>
        </w:rPr>
      </w:pPr>
    </w:p>
    <w:p w14:paraId="3451F5D1" w14:textId="0376C2BE" w:rsidR="0098483B" w:rsidRPr="00ED30C6" w:rsidRDefault="00D50C81" w:rsidP="002955FA">
      <w:pPr>
        <w:jc w:val="both"/>
        <w:rPr>
          <w:rFonts w:ascii="Arial" w:hAnsi="Arial" w:cs="Arial"/>
          <w:i/>
          <w:iCs/>
          <w:sz w:val="20"/>
          <w:szCs w:val="20"/>
        </w:rPr>
      </w:pPr>
      <w:r>
        <w:rPr>
          <w:rFonts w:ascii="Arial" w:hAnsi="Arial"/>
          <w:b/>
          <w:bCs/>
          <w:sz w:val="20"/>
          <w:szCs w:val="20"/>
        </w:rPr>
        <w:t>Cécile Béliot, Chief Executive Officer of Bel</w:t>
      </w:r>
      <w:r>
        <w:rPr>
          <w:rFonts w:ascii="Arial" w:hAnsi="Arial"/>
          <w:sz w:val="20"/>
          <w:szCs w:val="20"/>
        </w:rPr>
        <w:t>, said:</w:t>
      </w:r>
      <w:r>
        <w:rPr>
          <w:rFonts w:ascii="Arial" w:hAnsi="Arial"/>
          <w:i/>
          <w:iCs/>
          <w:sz w:val="20"/>
          <w:szCs w:val="20"/>
        </w:rPr>
        <w:t xml:space="preserve"> </w:t>
      </w:r>
      <w:r>
        <w:rPr>
          <w:rFonts w:ascii="Arial" w:hAnsi="Arial"/>
          <w:sz w:val="20"/>
          <w:szCs w:val="20"/>
        </w:rPr>
        <w:t>“Bel delivered a solid financial performance in 2023.</w:t>
      </w:r>
      <w:r>
        <w:rPr>
          <w:rFonts w:ascii="Arial" w:hAnsi="Arial"/>
          <w:i/>
          <w:iCs/>
          <w:sz w:val="20"/>
          <w:szCs w:val="20"/>
        </w:rPr>
        <w:t xml:space="preserve"> </w:t>
      </w:r>
      <w:r>
        <w:rPr>
          <w:rFonts w:ascii="Arial" w:hAnsi="Arial"/>
          <w:sz w:val="20"/>
          <w:szCs w:val="20"/>
        </w:rPr>
        <w:t>With further progress in consolidated</w:t>
      </w:r>
      <w:r w:rsidR="00995258">
        <w:rPr>
          <w:rFonts w:ascii="Arial" w:hAnsi="Arial"/>
          <w:sz w:val="20"/>
          <w:szCs w:val="20"/>
        </w:rPr>
        <w:t xml:space="preserve"> net</w:t>
      </w:r>
      <w:r>
        <w:rPr>
          <w:rFonts w:ascii="Arial" w:hAnsi="Arial"/>
          <w:sz w:val="20"/>
          <w:szCs w:val="20"/>
        </w:rPr>
        <w:t xml:space="preserve"> sales, up</w:t>
      </w:r>
      <w:r w:rsidR="00FC281B">
        <w:rPr>
          <w:rFonts w:ascii="Arial" w:hAnsi="Arial"/>
          <w:sz w:val="20"/>
          <w:szCs w:val="20"/>
        </w:rPr>
        <w:t xml:space="preserve"> 5.8</w:t>
      </w:r>
      <w:r>
        <w:rPr>
          <w:rFonts w:ascii="Arial" w:hAnsi="Arial"/>
          <w:sz w:val="20"/>
          <w:szCs w:val="20"/>
        </w:rPr>
        <w:t xml:space="preserve">% versus 2022 on an organic basis, our strategy is now paying off and proving its </w:t>
      </w:r>
      <w:r w:rsidR="00AD7FCB">
        <w:rPr>
          <w:rFonts w:ascii="Arial" w:hAnsi="Arial"/>
          <w:sz w:val="20"/>
          <w:szCs w:val="20"/>
        </w:rPr>
        <w:t>worth</w:t>
      </w:r>
      <w:r>
        <w:rPr>
          <w:rFonts w:ascii="Arial" w:hAnsi="Arial"/>
          <w:sz w:val="20"/>
          <w:szCs w:val="20"/>
        </w:rPr>
        <w:t>.</w:t>
      </w:r>
      <w:r>
        <w:rPr>
          <w:rFonts w:ascii="Arial" w:hAnsi="Arial"/>
          <w:i/>
          <w:iCs/>
          <w:sz w:val="20"/>
          <w:szCs w:val="20"/>
        </w:rPr>
        <w:t> </w:t>
      </w:r>
      <w:r w:rsidR="006134F8">
        <w:rPr>
          <w:rFonts w:ascii="Arial" w:hAnsi="Arial"/>
          <w:sz w:val="20"/>
          <w:szCs w:val="20"/>
        </w:rPr>
        <w:t>Recurring o</w:t>
      </w:r>
      <w:r>
        <w:rPr>
          <w:rFonts w:ascii="Arial" w:hAnsi="Arial"/>
          <w:sz w:val="20"/>
          <w:szCs w:val="20"/>
        </w:rPr>
        <w:t>perating income grew by</w:t>
      </w:r>
      <w:r w:rsidR="00FC281B">
        <w:rPr>
          <w:rFonts w:ascii="Arial" w:hAnsi="Arial"/>
          <w:sz w:val="20"/>
          <w:szCs w:val="20"/>
        </w:rPr>
        <w:t xml:space="preserve"> 2</w:t>
      </w:r>
      <w:r w:rsidR="006134F8">
        <w:rPr>
          <w:rFonts w:ascii="Arial" w:hAnsi="Arial"/>
          <w:sz w:val="20"/>
          <w:szCs w:val="20"/>
        </w:rPr>
        <w:t>5</w:t>
      </w:r>
      <w:r>
        <w:rPr>
          <w:rFonts w:ascii="Arial" w:hAnsi="Arial"/>
          <w:sz w:val="20"/>
          <w:szCs w:val="20"/>
        </w:rPr>
        <w:t xml:space="preserve">% </w:t>
      </w:r>
      <w:r w:rsidR="006134F8">
        <w:rPr>
          <w:rFonts w:ascii="Arial" w:hAnsi="Arial"/>
          <w:sz w:val="20"/>
          <w:szCs w:val="20"/>
        </w:rPr>
        <w:t xml:space="preserve">à constant perimeter </w:t>
      </w:r>
      <w:r>
        <w:rPr>
          <w:rFonts w:ascii="Arial" w:hAnsi="Arial"/>
          <w:sz w:val="20"/>
          <w:szCs w:val="20"/>
        </w:rPr>
        <w:t>to €</w:t>
      </w:r>
      <w:r w:rsidR="00B25270">
        <w:rPr>
          <w:rFonts w:ascii="Arial" w:hAnsi="Arial"/>
          <w:sz w:val="20"/>
          <w:szCs w:val="20"/>
        </w:rPr>
        <w:t>2</w:t>
      </w:r>
      <w:r w:rsidR="006134F8">
        <w:rPr>
          <w:rFonts w:ascii="Arial" w:hAnsi="Arial"/>
          <w:sz w:val="20"/>
          <w:szCs w:val="20"/>
        </w:rPr>
        <w:t>51</w:t>
      </w:r>
      <w:r>
        <w:rPr>
          <w:rFonts w:ascii="Arial" w:hAnsi="Arial"/>
          <w:sz w:val="20"/>
          <w:szCs w:val="20"/>
        </w:rPr>
        <w:t xml:space="preserve"> million, reflecting our remarkable ability to adapt </w:t>
      </w:r>
      <w:r w:rsidR="00C83224">
        <w:rPr>
          <w:rFonts w:ascii="Arial" w:hAnsi="Arial"/>
          <w:sz w:val="20"/>
          <w:szCs w:val="20"/>
        </w:rPr>
        <w:t>to</w:t>
      </w:r>
      <w:r>
        <w:rPr>
          <w:rFonts w:ascii="Arial" w:hAnsi="Arial"/>
          <w:sz w:val="20"/>
          <w:szCs w:val="20"/>
        </w:rPr>
        <w:t xml:space="preserve"> protect our margins.</w:t>
      </w:r>
      <w:r>
        <w:rPr>
          <w:rFonts w:ascii="Arial" w:hAnsi="Arial"/>
          <w:i/>
          <w:iCs/>
          <w:sz w:val="20"/>
          <w:szCs w:val="20"/>
        </w:rPr>
        <w:t> </w:t>
      </w:r>
      <w:r>
        <w:rPr>
          <w:rFonts w:ascii="Arial" w:hAnsi="Arial"/>
          <w:sz w:val="20"/>
          <w:szCs w:val="20"/>
        </w:rPr>
        <w:t>In a complex and uncertain global environment, Bel will capitalize on its solid fundamentals and proven resilience to maintain its positive trajectory.”</w:t>
      </w:r>
    </w:p>
    <w:p w14:paraId="37B68C63" w14:textId="5B7EBF84" w:rsidR="0081782F" w:rsidRPr="00E80D3C" w:rsidRDefault="0081782F" w:rsidP="00940C65">
      <w:pPr>
        <w:rPr>
          <w:rFonts w:ascii="Arial" w:eastAsia="Helvetica Neue" w:hAnsi="Arial" w:cs="Arial"/>
          <w:b/>
          <w:bCs/>
          <w:iCs/>
          <w:color w:val="000000"/>
          <w:sz w:val="20"/>
          <w:szCs w:val="20"/>
          <w:highlight w:val="yellow"/>
          <w:u w:val="single"/>
          <w:lang w:val="en-GB"/>
        </w:rPr>
      </w:pPr>
    </w:p>
    <w:p w14:paraId="2C38722D" w14:textId="654E4034" w:rsidR="001F565D" w:rsidRPr="00E80D3C" w:rsidRDefault="001F565D" w:rsidP="00F52C77">
      <w:pPr>
        <w:jc w:val="both"/>
        <w:rPr>
          <w:rFonts w:ascii="Arial" w:eastAsia="Helvetica Neue" w:hAnsi="Arial" w:cs="Arial"/>
          <w:color w:val="000000"/>
          <w:sz w:val="20"/>
          <w:szCs w:val="20"/>
          <w:lang w:val="en-GB"/>
        </w:rPr>
      </w:pPr>
    </w:p>
    <w:p w14:paraId="5E7BDA82" w14:textId="77777777" w:rsidR="00EE1596" w:rsidRPr="00E80D3C" w:rsidRDefault="00EE1596" w:rsidP="00940C65">
      <w:pPr>
        <w:rPr>
          <w:rFonts w:ascii="Arial" w:eastAsia="Helvetica Neue" w:hAnsi="Arial" w:cs="Arial"/>
          <w:b/>
          <w:bCs/>
          <w:iCs/>
          <w:color w:val="000000"/>
          <w:sz w:val="20"/>
          <w:szCs w:val="20"/>
          <w:u w:val="single"/>
          <w:lang w:val="en-GB"/>
        </w:rPr>
      </w:pPr>
    </w:p>
    <w:p w14:paraId="325D9D22" w14:textId="77777777" w:rsidR="00906F06" w:rsidRDefault="00906F06">
      <w:pPr>
        <w:rPr>
          <w:rFonts w:ascii="Arial" w:eastAsia="Helvetica Neue" w:hAnsi="Arial" w:cs="Arial"/>
          <w:b/>
          <w:bCs/>
          <w:iCs/>
          <w:color w:val="000000"/>
          <w:sz w:val="20"/>
          <w:szCs w:val="20"/>
          <w:u w:val="single"/>
        </w:rPr>
      </w:pPr>
      <w:r>
        <w:br w:type="page"/>
      </w:r>
    </w:p>
    <w:p w14:paraId="6E3BAA0F" w14:textId="0890B432" w:rsidR="007D5E10" w:rsidRPr="00196665" w:rsidRDefault="007D5E10" w:rsidP="007D5E10">
      <w:pPr>
        <w:rPr>
          <w:rFonts w:ascii="Arial" w:eastAsia="Helvetica Neue" w:hAnsi="Arial" w:cs="Arial"/>
          <w:b/>
          <w:bCs/>
          <w:iCs/>
          <w:color w:val="000000"/>
          <w:sz w:val="20"/>
          <w:szCs w:val="20"/>
          <w:u w:val="single"/>
        </w:rPr>
      </w:pPr>
      <w:r>
        <w:rPr>
          <w:rFonts w:ascii="Arial" w:hAnsi="Arial"/>
          <w:b/>
          <w:bCs/>
          <w:iCs/>
          <w:color w:val="000000"/>
          <w:sz w:val="20"/>
          <w:szCs w:val="20"/>
          <w:u w:val="single"/>
        </w:rPr>
        <w:lastRenderedPageBreak/>
        <w:t>Key figures</w:t>
      </w:r>
    </w:p>
    <w:p w14:paraId="0B219A0C" w14:textId="77777777" w:rsidR="002904CA" w:rsidRDefault="002904CA" w:rsidP="007D5E10">
      <w:pPr>
        <w:rPr>
          <w:rFonts w:ascii="Arial" w:eastAsia="Helvetica Neue" w:hAnsi="Arial" w:cs="Arial"/>
          <w:i/>
          <w:color w:val="000000"/>
          <w:sz w:val="22"/>
          <w:szCs w:val="22"/>
          <w:lang w:val="fr-FR"/>
        </w:rPr>
      </w:pPr>
    </w:p>
    <w:tbl>
      <w:tblPr>
        <w:tblStyle w:val="Grilledutableau"/>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1456"/>
        <w:gridCol w:w="1267"/>
        <w:gridCol w:w="1245"/>
        <w:gridCol w:w="1294"/>
        <w:gridCol w:w="1298"/>
      </w:tblGrid>
      <w:tr w:rsidR="000E2760" w:rsidRPr="00F82A88" w14:paraId="218E7F3E" w14:textId="77777777" w:rsidTr="00073571">
        <w:trPr>
          <w:trHeight w:val="913"/>
          <w:jc w:val="center"/>
        </w:trPr>
        <w:tc>
          <w:tcPr>
            <w:tcW w:w="2800" w:type="dxa"/>
            <w:tcBorders>
              <w:top w:val="single" w:sz="4" w:space="0" w:color="auto"/>
              <w:bottom w:val="double" w:sz="4" w:space="0" w:color="auto"/>
            </w:tcBorders>
            <w:vAlign w:val="center"/>
          </w:tcPr>
          <w:p w14:paraId="644A1FF5" w14:textId="77777777" w:rsidR="000E2760" w:rsidRPr="00F82A88" w:rsidRDefault="000E2760" w:rsidP="00073571">
            <w:pPr>
              <w:jc w:val="center"/>
              <w:rPr>
                <w:rFonts w:ascii="Arial" w:eastAsia="Helvetica Neue" w:hAnsi="Arial" w:cs="Arial"/>
                <w:i/>
                <w:color w:val="000000"/>
                <w:sz w:val="18"/>
                <w:szCs w:val="18"/>
              </w:rPr>
            </w:pPr>
            <w:r>
              <w:rPr>
                <w:rFonts w:ascii="Arial" w:hAnsi="Arial"/>
                <w:i/>
                <w:color w:val="000000"/>
                <w:sz w:val="18"/>
                <w:szCs w:val="18"/>
              </w:rPr>
              <w:t>millions of euros</w:t>
            </w:r>
          </w:p>
        </w:tc>
        <w:tc>
          <w:tcPr>
            <w:tcW w:w="1456" w:type="dxa"/>
            <w:tcBorders>
              <w:top w:val="single" w:sz="4" w:space="0" w:color="auto"/>
              <w:bottom w:val="double" w:sz="4" w:space="0" w:color="auto"/>
            </w:tcBorders>
            <w:vAlign w:val="center"/>
          </w:tcPr>
          <w:p w14:paraId="0AB8F411" w14:textId="65039BE7"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2023</w:t>
            </w:r>
          </w:p>
        </w:tc>
        <w:tc>
          <w:tcPr>
            <w:tcW w:w="1267" w:type="dxa"/>
            <w:tcBorders>
              <w:top w:val="single" w:sz="4" w:space="0" w:color="auto"/>
              <w:bottom w:val="double" w:sz="4" w:space="0" w:color="auto"/>
            </w:tcBorders>
            <w:vAlign w:val="center"/>
          </w:tcPr>
          <w:p w14:paraId="7477DF87" w14:textId="2F6E9651" w:rsidR="000E2760" w:rsidRPr="00F82A88" w:rsidRDefault="000E2760" w:rsidP="00073571">
            <w:pPr>
              <w:jc w:val="center"/>
              <w:rPr>
                <w:rFonts w:ascii="Arial" w:eastAsia="Helvetica Neue" w:hAnsi="Arial" w:cs="Arial"/>
                <w:b/>
                <w:bCs/>
                <w:iCs/>
                <w:color w:val="000000"/>
                <w:sz w:val="18"/>
                <w:szCs w:val="18"/>
              </w:rPr>
            </w:pPr>
            <w:r w:rsidRPr="003E0B12">
              <w:rPr>
                <w:rFonts w:ascii="Arial" w:hAnsi="Arial"/>
                <w:b/>
                <w:bCs/>
                <w:iCs/>
                <w:color w:val="000000"/>
                <w:sz w:val="18"/>
                <w:szCs w:val="18"/>
              </w:rPr>
              <w:t>202</w:t>
            </w:r>
            <w:r w:rsidR="003E0B12" w:rsidRPr="003E0B12">
              <w:rPr>
                <w:rFonts w:ascii="Arial" w:hAnsi="Arial"/>
                <w:b/>
                <w:bCs/>
                <w:iCs/>
                <w:color w:val="000000"/>
                <w:sz w:val="18"/>
                <w:szCs w:val="18"/>
              </w:rPr>
              <w:t>2</w:t>
            </w:r>
          </w:p>
        </w:tc>
        <w:tc>
          <w:tcPr>
            <w:tcW w:w="1245" w:type="dxa"/>
            <w:tcBorders>
              <w:top w:val="single" w:sz="4" w:space="0" w:color="auto"/>
              <w:bottom w:val="double" w:sz="4" w:space="0" w:color="auto"/>
            </w:tcBorders>
            <w:vAlign w:val="center"/>
          </w:tcPr>
          <w:p w14:paraId="35C73674" w14:textId="77777777"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Change</w:t>
            </w:r>
          </w:p>
          <w:p w14:paraId="3680D616" w14:textId="77777777"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as reported</w:t>
            </w:r>
          </w:p>
        </w:tc>
        <w:tc>
          <w:tcPr>
            <w:tcW w:w="1294" w:type="dxa"/>
            <w:tcBorders>
              <w:top w:val="single" w:sz="4" w:space="0" w:color="auto"/>
              <w:bottom w:val="double" w:sz="4" w:space="0" w:color="auto"/>
            </w:tcBorders>
            <w:vAlign w:val="center"/>
          </w:tcPr>
          <w:p w14:paraId="07A1CA96" w14:textId="77777777"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Change</w:t>
            </w:r>
          </w:p>
          <w:p w14:paraId="64E57FA2" w14:textId="32DA8378"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at comparable structure</w:t>
            </w:r>
          </w:p>
        </w:tc>
        <w:tc>
          <w:tcPr>
            <w:tcW w:w="1298" w:type="dxa"/>
            <w:tcBorders>
              <w:top w:val="single" w:sz="4" w:space="0" w:color="auto"/>
              <w:bottom w:val="double" w:sz="4" w:space="0" w:color="auto"/>
            </w:tcBorders>
            <w:vAlign w:val="center"/>
          </w:tcPr>
          <w:p w14:paraId="535E4AF5" w14:textId="77777777" w:rsidR="000E2760" w:rsidRPr="00BC1037"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 xml:space="preserve">Organic </w:t>
            </w:r>
          </w:p>
          <w:p w14:paraId="636E826D" w14:textId="77777777" w:rsidR="000E2760" w:rsidRPr="00F82A88" w:rsidRDefault="000E2760" w:rsidP="00073571">
            <w:pPr>
              <w:jc w:val="center"/>
              <w:rPr>
                <w:rFonts w:ascii="Arial" w:eastAsia="Helvetica Neue" w:hAnsi="Arial" w:cs="Arial"/>
                <w:b/>
                <w:bCs/>
                <w:iCs/>
                <w:color w:val="000000"/>
                <w:sz w:val="18"/>
                <w:szCs w:val="18"/>
              </w:rPr>
            </w:pPr>
            <w:r>
              <w:rPr>
                <w:rFonts w:ascii="Arial" w:hAnsi="Arial"/>
                <w:b/>
                <w:bCs/>
                <w:iCs/>
                <w:color w:val="000000"/>
                <w:sz w:val="18"/>
                <w:szCs w:val="18"/>
              </w:rPr>
              <w:t>change</w:t>
            </w:r>
          </w:p>
        </w:tc>
      </w:tr>
      <w:tr w:rsidR="000E2760" w:rsidRPr="00F82A88" w14:paraId="07F9F438" w14:textId="77777777" w:rsidTr="003E0B12">
        <w:trPr>
          <w:trHeight w:val="431"/>
          <w:jc w:val="center"/>
        </w:trPr>
        <w:tc>
          <w:tcPr>
            <w:tcW w:w="2800" w:type="dxa"/>
            <w:tcBorders>
              <w:top w:val="double" w:sz="4" w:space="0" w:color="auto"/>
            </w:tcBorders>
            <w:vAlign w:val="center"/>
          </w:tcPr>
          <w:p w14:paraId="72B439B9" w14:textId="0681A383" w:rsidR="000E2760" w:rsidRPr="00F82A88" w:rsidRDefault="00995258" w:rsidP="003E0B12">
            <w:pPr>
              <w:rPr>
                <w:rFonts w:ascii="Arial" w:eastAsia="Helvetica Neue" w:hAnsi="Arial" w:cs="Arial"/>
                <w:iCs/>
                <w:color w:val="000000"/>
                <w:sz w:val="18"/>
                <w:szCs w:val="18"/>
              </w:rPr>
            </w:pPr>
            <w:r>
              <w:rPr>
                <w:rFonts w:ascii="Arial" w:hAnsi="Arial"/>
                <w:iCs/>
                <w:color w:val="000000"/>
                <w:sz w:val="18"/>
                <w:szCs w:val="18"/>
              </w:rPr>
              <w:t xml:space="preserve">Net </w:t>
            </w:r>
            <w:r w:rsidR="000E2760">
              <w:rPr>
                <w:rFonts w:ascii="Arial" w:hAnsi="Arial"/>
                <w:iCs/>
                <w:color w:val="000000"/>
                <w:sz w:val="18"/>
                <w:szCs w:val="18"/>
              </w:rPr>
              <w:t>Sales</w:t>
            </w:r>
          </w:p>
        </w:tc>
        <w:tc>
          <w:tcPr>
            <w:tcW w:w="1456" w:type="dxa"/>
            <w:tcBorders>
              <w:top w:val="double" w:sz="4" w:space="0" w:color="auto"/>
            </w:tcBorders>
            <w:vAlign w:val="center"/>
          </w:tcPr>
          <w:p w14:paraId="07176400" w14:textId="426094AA" w:rsidR="000E2760" w:rsidRPr="003E0B12" w:rsidRDefault="003E0B12" w:rsidP="003E0B12">
            <w:pPr>
              <w:jc w:val="center"/>
              <w:rPr>
                <w:rFonts w:ascii="Arial" w:eastAsia="Helvetica Neue" w:hAnsi="Arial" w:cs="Arial"/>
                <w:iCs/>
                <w:color w:val="000000" w:themeColor="text1"/>
                <w:sz w:val="18"/>
                <w:szCs w:val="18"/>
              </w:rPr>
            </w:pPr>
            <w:r w:rsidRPr="003E0B12">
              <w:rPr>
                <w:rFonts w:ascii="Arial" w:hAnsi="Arial"/>
                <w:color w:val="000000" w:themeColor="text1"/>
                <w:sz w:val="18"/>
                <w:szCs w:val="18"/>
              </w:rPr>
              <w:t>3,645</w:t>
            </w:r>
          </w:p>
        </w:tc>
        <w:tc>
          <w:tcPr>
            <w:tcW w:w="1267" w:type="dxa"/>
            <w:tcBorders>
              <w:top w:val="double" w:sz="4" w:space="0" w:color="auto"/>
            </w:tcBorders>
            <w:vAlign w:val="center"/>
          </w:tcPr>
          <w:p w14:paraId="2763F5CB" w14:textId="1C359733" w:rsidR="000E2760" w:rsidRPr="003E0B12" w:rsidRDefault="003E0B12" w:rsidP="003E0B12">
            <w:pPr>
              <w:jc w:val="center"/>
              <w:rPr>
                <w:rFonts w:ascii="Arial" w:eastAsia="Helvetica Neue" w:hAnsi="Arial" w:cs="Arial"/>
                <w:iCs/>
                <w:color w:val="000000" w:themeColor="text1"/>
                <w:sz w:val="18"/>
                <w:szCs w:val="18"/>
              </w:rPr>
            </w:pPr>
            <w:r w:rsidRPr="003E0B12">
              <w:rPr>
                <w:rFonts w:ascii="Arial" w:eastAsia="Helvetica Neue" w:hAnsi="Arial" w:cs="Arial"/>
                <w:iCs/>
                <w:color w:val="000000" w:themeColor="text1"/>
                <w:sz w:val="18"/>
                <w:szCs w:val="18"/>
              </w:rPr>
              <w:t>3,595</w:t>
            </w:r>
          </w:p>
        </w:tc>
        <w:tc>
          <w:tcPr>
            <w:tcW w:w="1245" w:type="dxa"/>
            <w:tcBorders>
              <w:top w:val="double" w:sz="4" w:space="0" w:color="auto"/>
            </w:tcBorders>
            <w:vAlign w:val="center"/>
          </w:tcPr>
          <w:p w14:paraId="40D94383" w14:textId="7D25C2BC"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1.4%</w:t>
            </w:r>
          </w:p>
        </w:tc>
        <w:tc>
          <w:tcPr>
            <w:tcW w:w="1294" w:type="dxa"/>
            <w:tcBorders>
              <w:top w:val="double" w:sz="4" w:space="0" w:color="auto"/>
            </w:tcBorders>
            <w:vAlign w:val="center"/>
          </w:tcPr>
          <w:p w14:paraId="69FFDF77" w14:textId="07DCA024"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3.2%</w:t>
            </w:r>
          </w:p>
        </w:tc>
        <w:tc>
          <w:tcPr>
            <w:tcW w:w="1298" w:type="dxa"/>
            <w:tcBorders>
              <w:top w:val="double" w:sz="4" w:space="0" w:color="auto"/>
            </w:tcBorders>
            <w:vAlign w:val="center"/>
          </w:tcPr>
          <w:p w14:paraId="182CC122" w14:textId="073F28BD" w:rsidR="000E2760" w:rsidRPr="003E0B12" w:rsidRDefault="003E0B12" w:rsidP="003E0B12">
            <w:pPr>
              <w:jc w:val="center"/>
              <w:rPr>
                <w:rFonts w:ascii="Arial" w:eastAsia="Helvetica Neue" w:hAnsi="Arial" w:cs="Arial"/>
                <w:color w:val="000000" w:themeColor="text1"/>
                <w:sz w:val="18"/>
                <w:szCs w:val="18"/>
              </w:rPr>
            </w:pPr>
            <w:r w:rsidRPr="003E0B12">
              <w:rPr>
                <w:rFonts w:ascii="Arial" w:eastAsia="Helvetica Neue" w:hAnsi="Arial" w:cs="Arial"/>
                <w:color w:val="000000" w:themeColor="text1"/>
                <w:sz w:val="18"/>
                <w:szCs w:val="18"/>
              </w:rPr>
              <w:t>5.8%</w:t>
            </w:r>
          </w:p>
        </w:tc>
      </w:tr>
      <w:tr w:rsidR="000E2760" w:rsidRPr="00F82A88" w14:paraId="0F985F1D" w14:textId="77777777" w:rsidTr="003E0B12">
        <w:trPr>
          <w:trHeight w:val="421"/>
          <w:jc w:val="center"/>
        </w:trPr>
        <w:tc>
          <w:tcPr>
            <w:tcW w:w="2800" w:type="dxa"/>
            <w:vAlign w:val="center"/>
          </w:tcPr>
          <w:p w14:paraId="1B1ACB08" w14:textId="77777777" w:rsidR="000E2760" w:rsidRPr="00F82A88" w:rsidRDefault="000E2760" w:rsidP="003E0B12">
            <w:pPr>
              <w:rPr>
                <w:rFonts w:ascii="Arial" w:eastAsia="Helvetica Neue" w:hAnsi="Arial" w:cs="Arial"/>
                <w:iCs/>
                <w:color w:val="000000"/>
                <w:sz w:val="18"/>
                <w:szCs w:val="18"/>
              </w:rPr>
            </w:pPr>
            <w:r>
              <w:rPr>
                <w:rFonts w:ascii="Arial" w:hAnsi="Arial"/>
                <w:iCs/>
                <w:color w:val="000000"/>
                <w:sz w:val="18"/>
                <w:szCs w:val="18"/>
              </w:rPr>
              <w:t>Recurring operating income</w:t>
            </w:r>
          </w:p>
        </w:tc>
        <w:tc>
          <w:tcPr>
            <w:tcW w:w="1456" w:type="dxa"/>
            <w:vAlign w:val="center"/>
          </w:tcPr>
          <w:p w14:paraId="6DEBBEB5" w14:textId="4868E6F9" w:rsidR="000E2760" w:rsidRPr="003E0B12" w:rsidRDefault="003E0B12" w:rsidP="003E0B12">
            <w:pPr>
              <w:jc w:val="center"/>
              <w:rPr>
                <w:rFonts w:ascii="Arial" w:eastAsia="Helvetica Neue" w:hAnsi="Arial" w:cs="Arial"/>
                <w:iCs/>
                <w:color w:val="000000" w:themeColor="text1"/>
                <w:sz w:val="18"/>
                <w:szCs w:val="18"/>
              </w:rPr>
            </w:pPr>
            <w:r w:rsidRPr="003E0B12">
              <w:rPr>
                <w:rFonts w:ascii="Arial" w:hAnsi="Arial"/>
                <w:color w:val="000000" w:themeColor="text1"/>
                <w:sz w:val="18"/>
                <w:szCs w:val="18"/>
              </w:rPr>
              <w:t>251</w:t>
            </w:r>
          </w:p>
        </w:tc>
        <w:tc>
          <w:tcPr>
            <w:tcW w:w="1267" w:type="dxa"/>
            <w:vAlign w:val="center"/>
          </w:tcPr>
          <w:p w14:paraId="08000691" w14:textId="6C2B9BC7"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187</w:t>
            </w:r>
          </w:p>
        </w:tc>
        <w:tc>
          <w:tcPr>
            <w:tcW w:w="1245" w:type="dxa"/>
            <w:vAlign w:val="center"/>
          </w:tcPr>
          <w:p w14:paraId="04088FDE" w14:textId="064A135E"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34.2%</w:t>
            </w:r>
          </w:p>
        </w:tc>
        <w:tc>
          <w:tcPr>
            <w:tcW w:w="1294" w:type="dxa"/>
            <w:vAlign w:val="center"/>
          </w:tcPr>
          <w:p w14:paraId="5783EB0C" w14:textId="5EAACD21"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25.2%</w:t>
            </w:r>
          </w:p>
        </w:tc>
        <w:tc>
          <w:tcPr>
            <w:tcW w:w="1298" w:type="dxa"/>
            <w:shd w:val="clear" w:color="auto" w:fill="D9D9D9" w:themeFill="background1" w:themeFillShade="D9"/>
            <w:vAlign w:val="center"/>
          </w:tcPr>
          <w:p w14:paraId="7ADD1C6C" w14:textId="77777777" w:rsidR="000E2760" w:rsidRPr="003E0B12" w:rsidRDefault="000E2760" w:rsidP="003E0B12">
            <w:pPr>
              <w:jc w:val="center"/>
              <w:rPr>
                <w:rFonts w:ascii="Arial" w:eastAsia="Helvetica Neue" w:hAnsi="Arial" w:cs="Arial"/>
                <w:color w:val="000000" w:themeColor="text1"/>
                <w:sz w:val="18"/>
                <w:szCs w:val="18"/>
              </w:rPr>
            </w:pPr>
          </w:p>
        </w:tc>
      </w:tr>
      <w:tr w:rsidR="000E2760" w:rsidRPr="00F82A88" w14:paraId="2BA756D4" w14:textId="77777777" w:rsidTr="003E0B12">
        <w:trPr>
          <w:trHeight w:val="512"/>
          <w:jc w:val="center"/>
        </w:trPr>
        <w:tc>
          <w:tcPr>
            <w:tcW w:w="2800" w:type="dxa"/>
            <w:vAlign w:val="center"/>
          </w:tcPr>
          <w:p w14:paraId="63858305" w14:textId="77777777" w:rsidR="000E2760" w:rsidRPr="00F82A88" w:rsidRDefault="000E2760" w:rsidP="003E0B12">
            <w:pPr>
              <w:rPr>
                <w:rFonts w:ascii="Arial" w:eastAsia="Helvetica Neue" w:hAnsi="Arial" w:cs="Arial"/>
                <w:i/>
                <w:color w:val="000000"/>
                <w:sz w:val="18"/>
                <w:szCs w:val="18"/>
              </w:rPr>
            </w:pPr>
            <w:r>
              <w:rPr>
                <w:rFonts w:ascii="Arial" w:hAnsi="Arial"/>
                <w:i/>
                <w:color w:val="000000"/>
                <w:sz w:val="18"/>
                <w:szCs w:val="18"/>
              </w:rPr>
              <w:t>Recurring operating margin</w:t>
            </w:r>
          </w:p>
        </w:tc>
        <w:tc>
          <w:tcPr>
            <w:tcW w:w="1456" w:type="dxa"/>
            <w:vAlign w:val="center"/>
          </w:tcPr>
          <w:p w14:paraId="14004C75" w14:textId="4C7C7927" w:rsidR="000E2760" w:rsidRPr="003E0B12" w:rsidRDefault="003E0B12" w:rsidP="003E0B12">
            <w:pPr>
              <w:jc w:val="center"/>
              <w:rPr>
                <w:rFonts w:ascii="Arial" w:eastAsia="Helvetica Neue" w:hAnsi="Arial" w:cs="Arial"/>
                <w:i/>
                <w:iCs/>
                <w:color w:val="000000" w:themeColor="text1"/>
                <w:sz w:val="18"/>
                <w:szCs w:val="18"/>
              </w:rPr>
            </w:pPr>
            <w:r w:rsidRPr="003E0B12">
              <w:rPr>
                <w:rFonts w:ascii="Arial" w:hAnsi="Arial"/>
                <w:i/>
                <w:iCs/>
                <w:color w:val="000000" w:themeColor="text1"/>
                <w:sz w:val="18"/>
                <w:szCs w:val="18"/>
              </w:rPr>
              <w:t>6.9%</w:t>
            </w:r>
          </w:p>
        </w:tc>
        <w:tc>
          <w:tcPr>
            <w:tcW w:w="1267" w:type="dxa"/>
            <w:vAlign w:val="center"/>
          </w:tcPr>
          <w:p w14:paraId="6A81DEB9" w14:textId="1824434F" w:rsidR="000E2760" w:rsidRPr="003E0B12" w:rsidRDefault="003E0B12" w:rsidP="003E0B12">
            <w:pPr>
              <w:jc w:val="center"/>
              <w:rPr>
                <w:rFonts w:ascii="Arial" w:eastAsia="Helvetica Neue" w:hAnsi="Arial" w:cs="Arial"/>
                <w:i/>
                <w:iCs/>
                <w:color w:val="000000" w:themeColor="text1"/>
                <w:sz w:val="18"/>
                <w:szCs w:val="18"/>
              </w:rPr>
            </w:pPr>
            <w:r w:rsidRPr="003E0B12">
              <w:rPr>
                <w:rFonts w:ascii="Arial" w:hAnsi="Arial"/>
                <w:i/>
                <w:iCs/>
                <w:color w:val="000000" w:themeColor="text1"/>
                <w:sz w:val="18"/>
                <w:szCs w:val="18"/>
              </w:rPr>
              <w:t>5.2%</w:t>
            </w:r>
          </w:p>
        </w:tc>
        <w:tc>
          <w:tcPr>
            <w:tcW w:w="1245" w:type="dxa"/>
            <w:vAlign w:val="center"/>
          </w:tcPr>
          <w:p w14:paraId="134A3E38" w14:textId="5421965B" w:rsidR="000E2760" w:rsidRPr="003E0B12" w:rsidRDefault="003E0B12" w:rsidP="003E0B12">
            <w:pPr>
              <w:jc w:val="center"/>
              <w:rPr>
                <w:rFonts w:ascii="Arial" w:eastAsia="Helvetica Neue" w:hAnsi="Arial" w:cs="Arial"/>
                <w:i/>
                <w:iCs/>
                <w:color w:val="000000" w:themeColor="text1"/>
                <w:sz w:val="18"/>
                <w:szCs w:val="18"/>
              </w:rPr>
            </w:pPr>
            <w:r w:rsidRPr="003E0B12">
              <w:rPr>
                <w:rFonts w:ascii="Arial" w:hAnsi="Arial"/>
                <w:i/>
                <w:iCs/>
                <w:color w:val="000000" w:themeColor="text1"/>
                <w:sz w:val="18"/>
                <w:szCs w:val="18"/>
              </w:rPr>
              <w:t>170 bps</w:t>
            </w:r>
          </w:p>
        </w:tc>
        <w:tc>
          <w:tcPr>
            <w:tcW w:w="1294" w:type="dxa"/>
            <w:vAlign w:val="center"/>
          </w:tcPr>
          <w:p w14:paraId="2241AA1C" w14:textId="36FAF694" w:rsidR="000E2760" w:rsidRPr="003E0B12" w:rsidRDefault="003E0B12" w:rsidP="003E0B12">
            <w:pPr>
              <w:jc w:val="center"/>
              <w:rPr>
                <w:rFonts w:ascii="Arial" w:eastAsia="Helvetica Neue" w:hAnsi="Arial" w:cs="Arial"/>
                <w:i/>
                <w:iCs/>
                <w:color w:val="000000" w:themeColor="text1"/>
                <w:sz w:val="18"/>
                <w:szCs w:val="18"/>
              </w:rPr>
            </w:pPr>
            <w:r w:rsidRPr="003E0B12">
              <w:rPr>
                <w:rFonts w:ascii="Arial" w:hAnsi="Arial"/>
                <w:i/>
                <w:iCs/>
                <w:color w:val="000000" w:themeColor="text1"/>
                <w:sz w:val="18"/>
                <w:szCs w:val="18"/>
              </w:rPr>
              <w:t>120 bps</w:t>
            </w:r>
          </w:p>
        </w:tc>
        <w:tc>
          <w:tcPr>
            <w:tcW w:w="1298" w:type="dxa"/>
            <w:shd w:val="clear" w:color="auto" w:fill="D9D9D9" w:themeFill="background1" w:themeFillShade="D9"/>
            <w:vAlign w:val="center"/>
          </w:tcPr>
          <w:p w14:paraId="4C27BDC0" w14:textId="77777777" w:rsidR="000E2760" w:rsidRPr="003E0B12" w:rsidRDefault="000E2760" w:rsidP="003E0B12">
            <w:pPr>
              <w:jc w:val="center"/>
              <w:rPr>
                <w:rFonts w:ascii="Arial" w:eastAsia="Helvetica Neue" w:hAnsi="Arial" w:cs="Arial"/>
                <w:i/>
                <w:color w:val="000000" w:themeColor="text1"/>
                <w:sz w:val="18"/>
                <w:szCs w:val="18"/>
              </w:rPr>
            </w:pPr>
          </w:p>
        </w:tc>
      </w:tr>
      <w:tr w:rsidR="000E2760" w:rsidRPr="00F82A88" w14:paraId="3E32122F" w14:textId="77777777" w:rsidTr="003E0B12">
        <w:trPr>
          <w:trHeight w:val="422"/>
          <w:jc w:val="center"/>
        </w:trPr>
        <w:tc>
          <w:tcPr>
            <w:tcW w:w="2800" w:type="dxa"/>
            <w:vAlign w:val="center"/>
          </w:tcPr>
          <w:p w14:paraId="4DBAC1F4" w14:textId="77777777" w:rsidR="000E2760" w:rsidRPr="00F82A88" w:rsidRDefault="000E2760" w:rsidP="003E0B12">
            <w:pPr>
              <w:rPr>
                <w:rFonts w:ascii="Arial" w:eastAsia="Helvetica Neue" w:hAnsi="Arial" w:cs="Arial"/>
                <w:iCs/>
                <w:color w:val="000000"/>
                <w:sz w:val="18"/>
                <w:szCs w:val="18"/>
              </w:rPr>
            </w:pPr>
            <w:r>
              <w:rPr>
                <w:rFonts w:ascii="Arial" w:hAnsi="Arial"/>
                <w:iCs/>
                <w:color w:val="000000"/>
                <w:sz w:val="18"/>
                <w:szCs w:val="18"/>
              </w:rPr>
              <w:t>Operating income</w:t>
            </w:r>
            <w:r w:rsidRPr="00F82A88">
              <w:rPr>
                <w:rStyle w:val="Appelnotedebasdep"/>
                <w:rFonts w:ascii="Arial" w:eastAsia="Helvetica Neue" w:hAnsi="Arial" w:cs="Arial"/>
                <w:iCs/>
                <w:color w:val="000000"/>
                <w:sz w:val="18"/>
                <w:szCs w:val="18"/>
                <w:lang w:val="fr-FR"/>
              </w:rPr>
              <w:footnoteReference w:id="4"/>
            </w:r>
          </w:p>
        </w:tc>
        <w:tc>
          <w:tcPr>
            <w:tcW w:w="1456" w:type="dxa"/>
            <w:vAlign w:val="center"/>
          </w:tcPr>
          <w:p w14:paraId="10AF9DA9" w14:textId="49A86493" w:rsidR="000E2760" w:rsidRPr="003E0B12" w:rsidRDefault="003E0B12" w:rsidP="003E0B12">
            <w:pPr>
              <w:jc w:val="center"/>
              <w:rPr>
                <w:rFonts w:ascii="Arial" w:eastAsia="Helvetica Neue" w:hAnsi="Arial" w:cs="Arial"/>
                <w:iCs/>
                <w:color w:val="000000" w:themeColor="text1"/>
                <w:sz w:val="18"/>
                <w:szCs w:val="18"/>
              </w:rPr>
            </w:pPr>
            <w:r w:rsidRPr="003E0B12">
              <w:rPr>
                <w:rFonts w:ascii="Arial" w:hAnsi="Arial"/>
                <w:color w:val="000000" w:themeColor="text1"/>
                <w:sz w:val="18"/>
                <w:szCs w:val="18"/>
              </w:rPr>
              <w:t>213</w:t>
            </w:r>
          </w:p>
        </w:tc>
        <w:tc>
          <w:tcPr>
            <w:tcW w:w="1267" w:type="dxa"/>
            <w:vAlign w:val="center"/>
          </w:tcPr>
          <w:p w14:paraId="3C402513" w14:textId="770CD4DE"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164</w:t>
            </w:r>
          </w:p>
        </w:tc>
        <w:tc>
          <w:tcPr>
            <w:tcW w:w="1245" w:type="dxa"/>
            <w:vAlign w:val="center"/>
          </w:tcPr>
          <w:p w14:paraId="03DB2B17" w14:textId="28C4F4A2"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29.4%</w:t>
            </w:r>
          </w:p>
        </w:tc>
        <w:tc>
          <w:tcPr>
            <w:tcW w:w="1294" w:type="dxa"/>
            <w:vAlign w:val="center"/>
          </w:tcPr>
          <w:p w14:paraId="0A10B506" w14:textId="2416D1A8" w:rsidR="000E2760"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25.4%</w:t>
            </w:r>
          </w:p>
        </w:tc>
        <w:tc>
          <w:tcPr>
            <w:tcW w:w="1298" w:type="dxa"/>
            <w:shd w:val="clear" w:color="auto" w:fill="D9D9D9" w:themeFill="background1" w:themeFillShade="D9"/>
            <w:vAlign w:val="center"/>
          </w:tcPr>
          <w:p w14:paraId="3DFD6C57" w14:textId="77777777" w:rsidR="000E2760" w:rsidRPr="003E0B12" w:rsidRDefault="000E2760" w:rsidP="003E0B12">
            <w:pPr>
              <w:jc w:val="center"/>
              <w:rPr>
                <w:rFonts w:ascii="Arial" w:eastAsia="Helvetica Neue" w:hAnsi="Arial" w:cs="Arial"/>
                <w:color w:val="000000" w:themeColor="text1"/>
                <w:sz w:val="18"/>
                <w:szCs w:val="18"/>
              </w:rPr>
            </w:pPr>
          </w:p>
        </w:tc>
      </w:tr>
      <w:tr w:rsidR="003E0B12" w:rsidRPr="00F82A88" w14:paraId="2339B8DB" w14:textId="77777777" w:rsidTr="003E0B12">
        <w:trPr>
          <w:trHeight w:val="412"/>
          <w:jc w:val="center"/>
        </w:trPr>
        <w:tc>
          <w:tcPr>
            <w:tcW w:w="2800" w:type="dxa"/>
            <w:vAlign w:val="center"/>
          </w:tcPr>
          <w:p w14:paraId="7F632294" w14:textId="70BD405A" w:rsidR="003E0B12" w:rsidRPr="003E0B12" w:rsidRDefault="003E0B12" w:rsidP="003E0B12">
            <w:pPr>
              <w:rPr>
                <w:rFonts w:ascii="Arial" w:hAnsi="Arial"/>
                <w:i/>
                <w:color w:val="000000"/>
                <w:sz w:val="18"/>
                <w:szCs w:val="18"/>
              </w:rPr>
            </w:pPr>
            <w:r w:rsidRPr="003E0B12">
              <w:rPr>
                <w:rFonts w:ascii="Arial" w:hAnsi="Arial"/>
                <w:i/>
                <w:color w:val="000000"/>
                <w:sz w:val="18"/>
                <w:szCs w:val="18"/>
              </w:rPr>
              <w:t>Operating margin</w:t>
            </w:r>
          </w:p>
        </w:tc>
        <w:tc>
          <w:tcPr>
            <w:tcW w:w="1456" w:type="dxa"/>
            <w:vAlign w:val="center"/>
          </w:tcPr>
          <w:p w14:paraId="19327E28" w14:textId="4CC9C778" w:rsidR="003E0B12" w:rsidRPr="003E0B12" w:rsidRDefault="003E0B12" w:rsidP="003E0B12">
            <w:pPr>
              <w:jc w:val="center"/>
              <w:rPr>
                <w:rFonts w:ascii="Arial" w:hAnsi="Arial"/>
                <w:i/>
                <w:iCs/>
                <w:color w:val="000000" w:themeColor="text1"/>
                <w:sz w:val="18"/>
                <w:szCs w:val="18"/>
              </w:rPr>
            </w:pPr>
            <w:r w:rsidRPr="003E0B12">
              <w:rPr>
                <w:rFonts w:ascii="Arial" w:hAnsi="Arial"/>
                <w:i/>
                <w:iCs/>
                <w:color w:val="000000" w:themeColor="text1"/>
                <w:sz w:val="18"/>
                <w:szCs w:val="18"/>
              </w:rPr>
              <w:t>5.8%</w:t>
            </w:r>
          </w:p>
        </w:tc>
        <w:tc>
          <w:tcPr>
            <w:tcW w:w="1267" w:type="dxa"/>
            <w:vAlign w:val="center"/>
          </w:tcPr>
          <w:p w14:paraId="411E77B5" w14:textId="3A9336A0" w:rsidR="003E0B12" w:rsidRPr="003E0B12" w:rsidRDefault="003E0B12" w:rsidP="003E0B12">
            <w:pPr>
              <w:jc w:val="center"/>
              <w:rPr>
                <w:rFonts w:ascii="Arial" w:hAnsi="Arial"/>
                <w:i/>
                <w:iCs/>
                <w:color w:val="000000" w:themeColor="text1"/>
                <w:sz w:val="18"/>
                <w:szCs w:val="18"/>
              </w:rPr>
            </w:pPr>
            <w:r>
              <w:rPr>
                <w:rFonts w:ascii="Arial" w:hAnsi="Arial"/>
                <w:i/>
                <w:iCs/>
                <w:color w:val="000000" w:themeColor="text1"/>
                <w:sz w:val="18"/>
                <w:szCs w:val="18"/>
              </w:rPr>
              <w:t>4.6%</w:t>
            </w:r>
          </w:p>
        </w:tc>
        <w:tc>
          <w:tcPr>
            <w:tcW w:w="1245" w:type="dxa"/>
            <w:vAlign w:val="center"/>
          </w:tcPr>
          <w:p w14:paraId="48E336EA" w14:textId="4799EDB7" w:rsidR="003E0B12" w:rsidRPr="003E0B12" w:rsidRDefault="003E0B12" w:rsidP="003E0B12">
            <w:pPr>
              <w:jc w:val="center"/>
              <w:rPr>
                <w:rFonts w:ascii="Arial" w:hAnsi="Arial"/>
                <w:i/>
                <w:iCs/>
                <w:color w:val="000000" w:themeColor="text1"/>
                <w:sz w:val="18"/>
                <w:szCs w:val="18"/>
              </w:rPr>
            </w:pPr>
            <w:r w:rsidRPr="003E0B12">
              <w:rPr>
                <w:rFonts w:ascii="Arial" w:hAnsi="Arial"/>
                <w:i/>
                <w:iCs/>
                <w:color w:val="000000" w:themeColor="text1"/>
                <w:sz w:val="18"/>
                <w:szCs w:val="18"/>
              </w:rPr>
              <w:t>130 bps</w:t>
            </w:r>
          </w:p>
        </w:tc>
        <w:tc>
          <w:tcPr>
            <w:tcW w:w="1294" w:type="dxa"/>
            <w:shd w:val="clear" w:color="auto" w:fill="auto"/>
            <w:vAlign w:val="center"/>
          </w:tcPr>
          <w:p w14:paraId="4FBE98E1" w14:textId="447BBA26" w:rsidR="003E0B12" w:rsidRPr="003E0B12" w:rsidRDefault="003E0B12" w:rsidP="003E0B12">
            <w:pPr>
              <w:jc w:val="center"/>
              <w:rPr>
                <w:rFonts w:ascii="Arial" w:eastAsia="Helvetica Neue" w:hAnsi="Arial" w:cs="Arial"/>
                <w:i/>
                <w:iCs/>
                <w:color w:val="000000" w:themeColor="text1"/>
                <w:sz w:val="18"/>
                <w:szCs w:val="18"/>
              </w:rPr>
            </w:pPr>
            <w:r w:rsidRPr="003E0B12">
              <w:rPr>
                <w:rFonts w:ascii="Arial" w:hAnsi="Arial"/>
                <w:i/>
                <w:iCs/>
                <w:color w:val="000000" w:themeColor="text1"/>
                <w:sz w:val="18"/>
                <w:szCs w:val="18"/>
              </w:rPr>
              <w:t>100 bps</w:t>
            </w:r>
          </w:p>
        </w:tc>
        <w:tc>
          <w:tcPr>
            <w:tcW w:w="1298" w:type="dxa"/>
            <w:shd w:val="clear" w:color="auto" w:fill="D9D9D9" w:themeFill="background1" w:themeFillShade="D9"/>
            <w:vAlign w:val="center"/>
          </w:tcPr>
          <w:p w14:paraId="5DFBE2D4" w14:textId="77777777" w:rsidR="003E0B12" w:rsidRPr="003E0B12" w:rsidRDefault="003E0B12" w:rsidP="003E0B12">
            <w:pPr>
              <w:jc w:val="center"/>
              <w:rPr>
                <w:rFonts w:ascii="Arial" w:eastAsia="Helvetica Neue" w:hAnsi="Arial" w:cs="Arial"/>
                <w:color w:val="000000" w:themeColor="text1"/>
                <w:sz w:val="18"/>
                <w:szCs w:val="18"/>
              </w:rPr>
            </w:pPr>
          </w:p>
        </w:tc>
      </w:tr>
      <w:tr w:rsidR="003E0B12" w:rsidRPr="00F82A88" w14:paraId="00EA605F" w14:textId="77777777" w:rsidTr="003E0B12">
        <w:trPr>
          <w:trHeight w:val="412"/>
          <w:jc w:val="center"/>
        </w:trPr>
        <w:tc>
          <w:tcPr>
            <w:tcW w:w="2800" w:type="dxa"/>
            <w:vAlign w:val="center"/>
          </w:tcPr>
          <w:p w14:paraId="21F060FB" w14:textId="77777777" w:rsidR="003E0B12" w:rsidRPr="00F82A88" w:rsidRDefault="003E0B12" w:rsidP="003E0B12">
            <w:pPr>
              <w:rPr>
                <w:rFonts w:ascii="Arial" w:eastAsia="Helvetica Neue" w:hAnsi="Arial" w:cs="Arial"/>
                <w:iCs/>
                <w:color w:val="000000"/>
                <w:sz w:val="18"/>
                <w:szCs w:val="18"/>
              </w:rPr>
            </w:pPr>
            <w:r>
              <w:rPr>
                <w:rFonts w:ascii="Arial" w:hAnsi="Arial"/>
                <w:iCs/>
                <w:color w:val="000000"/>
                <w:sz w:val="18"/>
                <w:szCs w:val="18"/>
              </w:rPr>
              <w:t>Net financial result</w:t>
            </w:r>
          </w:p>
        </w:tc>
        <w:tc>
          <w:tcPr>
            <w:tcW w:w="1456" w:type="dxa"/>
            <w:vAlign w:val="center"/>
          </w:tcPr>
          <w:p w14:paraId="1DC530BD" w14:textId="76B95668" w:rsidR="003E0B12" w:rsidRPr="003E0B12" w:rsidRDefault="003E0B12" w:rsidP="003E0B12">
            <w:pPr>
              <w:jc w:val="center"/>
              <w:rPr>
                <w:rFonts w:ascii="Arial" w:eastAsia="Helvetica Neue" w:hAnsi="Arial" w:cs="Arial"/>
                <w:iCs/>
                <w:color w:val="000000" w:themeColor="text1"/>
                <w:sz w:val="18"/>
                <w:szCs w:val="18"/>
              </w:rPr>
            </w:pPr>
            <w:r w:rsidRPr="003E0B12">
              <w:rPr>
                <w:rFonts w:ascii="Arial" w:eastAsia="Helvetica Neue" w:hAnsi="Arial" w:cs="Arial"/>
                <w:iCs/>
                <w:color w:val="000000" w:themeColor="text1"/>
                <w:sz w:val="18"/>
                <w:szCs w:val="18"/>
              </w:rPr>
              <w:t>(48)</w:t>
            </w:r>
          </w:p>
        </w:tc>
        <w:tc>
          <w:tcPr>
            <w:tcW w:w="1267" w:type="dxa"/>
            <w:vAlign w:val="center"/>
          </w:tcPr>
          <w:p w14:paraId="30EB74F0" w14:textId="5D93FA7B" w:rsidR="003E0B12" w:rsidRPr="003E0B12" w:rsidRDefault="003E0B12" w:rsidP="003E0B12">
            <w:pPr>
              <w:jc w:val="center"/>
              <w:rPr>
                <w:rFonts w:ascii="Arial" w:eastAsia="Helvetica Neue" w:hAnsi="Arial" w:cs="Arial"/>
                <w:color w:val="000000" w:themeColor="text1"/>
                <w:sz w:val="18"/>
                <w:szCs w:val="18"/>
              </w:rPr>
            </w:pPr>
            <w:r w:rsidRPr="003E0B12">
              <w:rPr>
                <w:rFonts w:ascii="Arial" w:eastAsia="Helvetica Neue" w:hAnsi="Arial" w:cs="Arial"/>
                <w:iCs/>
                <w:color w:val="000000" w:themeColor="text1"/>
                <w:sz w:val="18"/>
                <w:szCs w:val="18"/>
              </w:rPr>
              <w:t>(24)</w:t>
            </w:r>
          </w:p>
        </w:tc>
        <w:tc>
          <w:tcPr>
            <w:tcW w:w="1245" w:type="dxa"/>
            <w:vAlign w:val="center"/>
          </w:tcPr>
          <w:p w14:paraId="53F1F074" w14:textId="027C7582" w:rsidR="003E0B12"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(24)</w:t>
            </w:r>
          </w:p>
        </w:tc>
        <w:tc>
          <w:tcPr>
            <w:tcW w:w="1294" w:type="dxa"/>
            <w:shd w:val="clear" w:color="auto" w:fill="D9D9D9" w:themeFill="background1" w:themeFillShade="D9"/>
            <w:vAlign w:val="center"/>
          </w:tcPr>
          <w:p w14:paraId="03A2871C" w14:textId="77777777" w:rsidR="003E0B12" w:rsidRPr="003E0B12" w:rsidRDefault="003E0B12" w:rsidP="003E0B12">
            <w:pPr>
              <w:jc w:val="center"/>
              <w:rPr>
                <w:rFonts w:ascii="Arial" w:eastAsia="Helvetica Neue" w:hAnsi="Arial" w:cs="Arial"/>
                <w:color w:val="000000" w:themeColor="text1"/>
                <w:sz w:val="18"/>
                <w:szCs w:val="18"/>
              </w:rPr>
            </w:pPr>
          </w:p>
        </w:tc>
        <w:tc>
          <w:tcPr>
            <w:tcW w:w="1298" w:type="dxa"/>
            <w:shd w:val="clear" w:color="auto" w:fill="D9D9D9" w:themeFill="background1" w:themeFillShade="D9"/>
            <w:vAlign w:val="center"/>
          </w:tcPr>
          <w:p w14:paraId="0D25DF0B" w14:textId="77777777" w:rsidR="003E0B12" w:rsidRPr="003E0B12" w:rsidRDefault="003E0B12" w:rsidP="003E0B12">
            <w:pPr>
              <w:jc w:val="center"/>
              <w:rPr>
                <w:rFonts w:ascii="Arial" w:eastAsia="Helvetica Neue" w:hAnsi="Arial" w:cs="Arial"/>
                <w:color w:val="000000" w:themeColor="text1"/>
                <w:sz w:val="18"/>
                <w:szCs w:val="18"/>
              </w:rPr>
            </w:pPr>
          </w:p>
        </w:tc>
      </w:tr>
      <w:tr w:rsidR="003E0B12" w:rsidRPr="00F82A88" w14:paraId="15F56A17" w14:textId="77777777" w:rsidTr="003E0B12">
        <w:trPr>
          <w:trHeight w:val="437"/>
          <w:jc w:val="center"/>
        </w:trPr>
        <w:tc>
          <w:tcPr>
            <w:tcW w:w="2800" w:type="dxa"/>
            <w:tcBorders>
              <w:bottom w:val="single" w:sz="4" w:space="0" w:color="auto"/>
            </w:tcBorders>
            <w:vAlign w:val="center"/>
          </w:tcPr>
          <w:p w14:paraId="3A7FD8E8" w14:textId="77777777" w:rsidR="003E0B12" w:rsidRPr="00F82A88" w:rsidRDefault="003E0B12" w:rsidP="003E0B12">
            <w:pPr>
              <w:rPr>
                <w:rFonts w:ascii="Arial" w:eastAsia="Helvetica Neue" w:hAnsi="Arial" w:cs="Arial"/>
                <w:iCs/>
                <w:color w:val="000000"/>
                <w:sz w:val="18"/>
                <w:szCs w:val="18"/>
              </w:rPr>
            </w:pPr>
            <w:r>
              <w:rPr>
                <w:rFonts w:ascii="Arial" w:hAnsi="Arial"/>
                <w:iCs/>
                <w:color w:val="000000"/>
                <w:sz w:val="18"/>
                <w:szCs w:val="18"/>
              </w:rPr>
              <w:t>Consolidated net profit, Group share</w:t>
            </w:r>
          </w:p>
        </w:tc>
        <w:tc>
          <w:tcPr>
            <w:tcW w:w="1456" w:type="dxa"/>
            <w:tcBorders>
              <w:bottom w:val="single" w:sz="4" w:space="0" w:color="auto"/>
            </w:tcBorders>
            <w:vAlign w:val="center"/>
          </w:tcPr>
          <w:p w14:paraId="55B0FF31" w14:textId="4EB01110" w:rsidR="003E0B12" w:rsidRPr="003E0B12" w:rsidRDefault="003E0B12" w:rsidP="003E0B12">
            <w:pPr>
              <w:jc w:val="center"/>
              <w:rPr>
                <w:rFonts w:ascii="Arial" w:eastAsia="Helvetica Neue" w:hAnsi="Arial" w:cs="Arial"/>
                <w:iCs/>
                <w:color w:val="000000" w:themeColor="text1"/>
                <w:sz w:val="18"/>
                <w:szCs w:val="18"/>
              </w:rPr>
            </w:pPr>
            <w:r w:rsidRPr="003E0B12">
              <w:rPr>
                <w:rFonts w:ascii="Arial" w:eastAsia="Helvetica Neue" w:hAnsi="Arial" w:cs="Arial"/>
                <w:iCs/>
                <w:color w:val="000000" w:themeColor="text1"/>
                <w:sz w:val="18"/>
                <w:szCs w:val="18"/>
              </w:rPr>
              <w:t>69</w:t>
            </w:r>
          </w:p>
        </w:tc>
        <w:tc>
          <w:tcPr>
            <w:tcW w:w="1267" w:type="dxa"/>
            <w:tcBorders>
              <w:bottom w:val="single" w:sz="4" w:space="0" w:color="auto"/>
            </w:tcBorders>
            <w:vAlign w:val="center"/>
          </w:tcPr>
          <w:p w14:paraId="023AE7FA" w14:textId="4EF0673C" w:rsidR="003E0B12" w:rsidRPr="003E0B12" w:rsidRDefault="003E0B12" w:rsidP="003E0B12">
            <w:pPr>
              <w:jc w:val="center"/>
              <w:rPr>
                <w:rFonts w:ascii="Arial" w:eastAsia="Helvetica Neue" w:hAnsi="Arial" w:cs="Arial"/>
                <w:color w:val="000000" w:themeColor="text1"/>
                <w:sz w:val="18"/>
                <w:szCs w:val="18"/>
              </w:rPr>
            </w:pPr>
            <w:r w:rsidRPr="003E0B12">
              <w:rPr>
                <w:rFonts w:ascii="Arial" w:eastAsia="Helvetica Neue" w:hAnsi="Arial" w:cs="Arial"/>
                <w:color w:val="000000" w:themeColor="text1"/>
                <w:sz w:val="18"/>
                <w:szCs w:val="18"/>
              </w:rPr>
              <w:t>96</w:t>
            </w:r>
          </w:p>
        </w:tc>
        <w:tc>
          <w:tcPr>
            <w:tcW w:w="1245" w:type="dxa"/>
            <w:tcBorders>
              <w:bottom w:val="single" w:sz="4" w:space="0" w:color="auto"/>
            </w:tcBorders>
            <w:vAlign w:val="center"/>
          </w:tcPr>
          <w:p w14:paraId="28E207E3" w14:textId="4121F842" w:rsidR="003E0B12"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(27)</w:t>
            </w:r>
          </w:p>
        </w:tc>
        <w:tc>
          <w:tcPr>
            <w:tcW w:w="1294" w:type="dxa"/>
            <w:tcBorders>
              <w:bottom w:val="single" w:sz="4" w:space="0" w:color="auto"/>
            </w:tcBorders>
            <w:shd w:val="clear" w:color="auto" w:fill="D9D9D9" w:themeFill="background1" w:themeFillShade="D9"/>
            <w:vAlign w:val="center"/>
          </w:tcPr>
          <w:p w14:paraId="02554D70" w14:textId="77777777" w:rsidR="003E0B12" w:rsidRPr="003E0B12" w:rsidRDefault="003E0B12" w:rsidP="003E0B12">
            <w:pPr>
              <w:jc w:val="center"/>
              <w:rPr>
                <w:rFonts w:ascii="Arial" w:eastAsia="Helvetica Neue" w:hAnsi="Arial" w:cs="Arial"/>
                <w:color w:val="000000" w:themeColor="text1"/>
                <w:sz w:val="18"/>
                <w:szCs w:val="18"/>
              </w:rPr>
            </w:pPr>
          </w:p>
        </w:tc>
        <w:tc>
          <w:tcPr>
            <w:tcW w:w="1298" w:type="dxa"/>
            <w:tcBorders>
              <w:bottom w:val="single" w:sz="4" w:space="0" w:color="auto"/>
            </w:tcBorders>
            <w:shd w:val="clear" w:color="auto" w:fill="D9D9D9" w:themeFill="background1" w:themeFillShade="D9"/>
            <w:vAlign w:val="center"/>
          </w:tcPr>
          <w:p w14:paraId="1D886E1F" w14:textId="77777777" w:rsidR="003E0B12" w:rsidRPr="003E0B12" w:rsidRDefault="003E0B12" w:rsidP="003E0B12">
            <w:pPr>
              <w:jc w:val="center"/>
              <w:rPr>
                <w:rFonts w:ascii="Arial" w:eastAsia="Helvetica Neue" w:hAnsi="Arial" w:cs="Arial"/>
                <w:color w:val="000000" w:themeColor="text1"/>
                <w:sz w:val="18"/>
                <w:szCs w:val="18"/>
              </w:rPr>
            </w:pPr>
          </w:p>
        </w:tc>
      </w:tr>
      <w:tr w:rsidR="003E0B12" w:rsidRPr="00F82A88" w14:paraId="119C2083" w14:textId="77777777" w:rsidTr="003E0B12">
        <w:trPr>
          <w:trHeight w:val="72"/>
          <w:jc w:val="center"/>
        </w:trPr>
        <w:tc>
          <w:tcPr>
            <w:tcW w:w="2800" w:type="dxa"/>
            <w:tcBorders>
              <w:top w:val="single" w:sz="4" w:space="0" w:color="auto"/>
              <w:bottom w:val="single" w:sz="4" w:space="0" w:color="auto"/>
            </w:tcBorders>
            <w:vAlign w:val="center"/>
          </w:tcPr>
          <w:p w14:paraId="02F3C223" w14:textId="77777777" w:rsidR="003E0B12" w:rsidRPr="003E0B12" w:rsidRDefault="003E0B12" w:rsidP="003E0B12">
            <w:pPr>
              <w:rPr>
                <w:rFonts w:ascii="Arial" w:eastAsia="Helvetica Neue" w:hAnsi="Arial" w:cs="Arial"/>
                <w:iCs/>
                <w:color w:val="000000"/>
                <w:sz w:val="10"/>
                <w:szCs w:val="10"/>
                <w:lang w:val="fr-FR"/>
              </w:rPr>
            </w:pPr>
          </w:p>
        </w:tc>
        <w:tc>
          <w:tcPr>
            <w:tcW w:w="1456" w:type="dxa"/>
            <w:tcBorders>
              <w:top w:val="single" w:sz="4" w:space="0" w:color="auto"/>
              <w:bottom w:val="single" w:sz="4" w:space="0" w:color="auto"/>
            </w:tcBorders>
            <w:vAlign w:val="center"/>
          </w:tcPr>
          <w:p w14:paraId="5C6B5AA8" w14:textId="6C1711FE" w:rsidR="003E0B12" w:rsidRPr="003E0B12" w:rsidRDefault="003E0B12" w:rsidP="003E0B12">
            <w:pPr>
              <w:jc w:val="center"/>
              <w:rPr>
                <w:rFonts w:ascii="Arial" w:eastAsia="Helvetica Neue" w:hAnsi="Arial" w:cs="Arial"/>
                <w:iCs/>
                <w:color w:val="000000" w:themeColor="text1"/>
                <w:sz w:val="10"/>
                <w:szCs w:val="10"/>
              </w:rPr>
            </w:pPr>
          </w:p>
        </w:tc>
        <w:tc>
          <w:tcPr>
            <w:tcW w:w="1267" w:type="dxa"/>
            <w:tcBorders>
              <w:top w:val="single" w:sz="4" w:space="0" w:color="auto"/>
              <w:bottom w:val="single" w:sz="4" w:space="0" w:color="auto"/>
            </w:tcBorders>
            <w:vAlign w:val="center"/>
          </w:tcPr>
          <w:p w14:paraId="1D81C3BD" w14:textId="4C1A34BF" w:rsidR="003E0B12" w:rsidRPr="003E0B12" w:rsidRDefault="003E0B12" w:rsidP="003E0B12">
            <w:pPr>
              <w:jc w:val="center"/>
              <w:rPr>
                <w:rFonts w:ascii="Arial" w:eastAsia="Helvetica Neue" w:hAnsi="Arial" w:cs="Arial"/>
                <w:iCs/>
                <w:color w:val="000000" w:themeColor="text1"/>
                <w:sz w:val="10"/>
                <w:szCs w:val="10"/>
              </w:rPr>
            </w:pPr>
          </w:p>
        </w:tc>
        <w:tc>
          <w:tcPr>
            <w:tcW w:w="1245" w:type="dxa"/>
            <w:tcBorders>
              <w:top w:val="single" w:sz="4" w:space="0" w:color="auto"/>
              <w:bottom w:val="single" w:sz="4" w:space="0" w:color="auto"/>
            </w:tcBorders>
            <w:vAlign w:val="center"/>
          </w:tcPr>
          <w:p w14:paraId="163EF8F0" w14:textId="2466622C" w:rsidR="003E0B12" w:rsidRPr="003E0B12" w:rsidRDefault="003E0B12" w:rsidP="003E0B12">
            <w:pPr>
              <w:rPr>
                <w:rFonts w:ascii="Arial" w:eastAsia="Helvetica Neue" w:hAnsi="Arial" w:cs="Arial"/>
                <w:iCs/>
                <w:color w:val="000000" w:themeColor="text1"/>
                <w:sz w:val="10"/>
                <w:szCs w:val="10"/>
              </w:rPr>
            </w:pPr>
          </w:p>
        </w:tc>
        <w:tc>
          <w:tcPr>
            <w:tcW w:w="1294" w:type="dxa"/>
            <w:tcBorders>
              <w:top w:val="single" w:sz="4" w:space="0" w:color="auto"/>
              <w:bottom w:val="single" w:sz="4" w:space="0" w:color="auto"/>
            </w:tcBorders>
            <w:shd w:val="clear" w:color="auto" w:fill="D9D9D9" w:themeFill="background1" w:themeFillShade="D9"/>
            <w:vAlign w:val="center"/>
          </w:tcPr>
          <w:p w14:paraId="08E0C969" w14:textId="77777777" w:rsidR="003E0B12" w:rsidRPr="003E0B12" w:rsidRDefault="003E0B12" w:rsidP="003E0B12">
            <w:pPr>
              <w:jc w:val="center"/>
              <w:rPr>
                <w:rFonts w:ascii="Arial" w:eastAsia="Helvetica Neue" w:hAnsi="Arial" w:cs="Arial"/>
                <w:iCs/>
                <w:color w:val="000000" w:themeColor="text1"/>
                <w:sz w:val="10"/>
                <w:szCs w:val="10"/>
              </w:rPr>
            </w:pPr>
          </w:p>
        </w:tc>
        <w:tc>
          <w:tcPr>
            <w:tcW w:w="1298" w:type="dxa"/>
            <w:tcBorders>
              <w:top w:val="single" w:sz="4" w:space="0" w:color="auto"/>
              <w:bottom w:val="single" w:sz="4" w:space="0" w:color="auto"/>
            </w:tcBorders>
            <w:shd w:val="clear" w:color="auto" w:fill="D9D9D9" w:themeFill="background1" w:themeFillShade="D9"/>
            <w:vAlign w:val="center"/>
          </w:tcPr>
          <w:p w14:paraId="329B79CB" w14:textId="77777777" w:rsidR="003E0B12" w:rsidRPr="003E0B12" w:rsidRDefault="003E0B12" w:rsidP="003E0B12">
            <w:pPr>
              <w:jc w:val="center"/>
              <w:rPr>
                <w:rFonts w:ascii="Arial" w:eastAsia="Helvetica Neue" w:hAnsi="Arial" w:cs="Arial"/>
                <w:iCs/>
                <w:color w:val="000000" w:themeColor="text1"/>
                <w:sz w:val="10"/>
                <w:szCs w:val="10"/>
              </w:rPr>
            </w:pPr>
          </w:p>
        </w:tc>
      </w:tr>
      <w:tr w:rsidR="003E0B12" w:rsidRPr="00F82A88" w14:paraId="49863478" w14:textId="77777777" w:rsidTr="003E0B12">
        <w:trPr>
          <w:trHeight w:val="495"/>
          <w:jc w:val="center"/>
        </w:trPr>
        <w:tc>
          <w:tcPr>
            <w:tcW w:w="2800" w:type="dxa"/>
            <w:tcBorders>
              <w:top w:val="single" w:sz="4" w:space="0" w:color="auto"/>
              <w:bottom w:val="single" w:sz="4" w:space="0" w:color="auto"/>
            </w:tcBorders>
            <w:vAlign w:val="center"/>
          </w:tcPr>
          <w:p w14:paraId="2D980B2C" w14:textId="77777777" w:rsidR="003E0B12" w:rsidRPr="00F82A88" w:rsidRDefault="003E0B12" w:rsidP="003E0B12">
            <w:pPr>
              <w:rPr>
                <w:rFonts w:ascii="Arial" w:eastAsia="Helvetica Neue" w:hAnsi="Arial" w:cs="Arial"/>
                <w:iCs/>
                <w:color w:val="000000"/>
                <w:sz w:val="18"/>
                <w:szCs w:val="18"/>
              </w:rPr>
            </w:pPr>
            <w:r>
              <w:rPr>
                <w:rFonts w:ascii="Arial" w:hAnsi="Arial"/>
                <w:iCs/>
                <w:color w:val="000000"/>
                <w:sz w:val="18"/>
                <w:szCs w:val="18"/>
              </w:rPr>
              <w:t>Free cash flow</w:t>
            </w:r>
          </w:p>
        </w:tc>
        <w:tc>
          <w:tcPr>
            <w:tcW w:w="1456" w:type="dxa"/>
            <w:tcBorders>
              <w:top w:val="single" w:sz="4" w:space="0" w:color="auto"/>
              <w:bottom w:val="single" w:sz="4" w:space="0" w:color="auto"/>
            </w:tcBorders>
            <w:vAlign w:val="center"/>
          </w:tcPr>
          <w:p w14:paraId="3CF158B2" w14:textId="6D7D0B1D" w:rsidR="003E0B12" w:rsidRPr="003E0B12" w:rsidRDefault="003E0B12" w:rsidP="003E0B12">
            <w:pPr>
              <w:jc w:val="center"/>
              <w:rPr>
                <w:rFonts w:ascii="Arial" w:eastAsia="Helvetica Neue" w:hAnsi="Arial" w:cs="Arial"/>
                <w:iCs/>
                <w:color w:val="000000" w:themeColor="text1"/>
                <w:sz w:val="18"/>
                <w:szCs w:val="18"/>
              </w:rPr>
            </w:pPr>
            <w:r w:rsidRPr="003E0B12">
              <w:rPr>
                <w:rFonts w:ascii="Arial" w:hAnsi="Arial"/>
                <w:color w:val="000000" w:themeColor="text1"/>
                <w:sz w:val="18"/>
                <w:szCs w:val="18"/>
              </w:rPr>
              <w:t>55</w:t>
            </w:r>
          </w:p>
        </w:tc>
        <w:tc>
          <w:tcPr>
            <w:tcW w:w="1267" w:type="dxa"/>
            <w:tcBorders>
              <w:top w:val="single" w:sz="4" w:space="0" w:color="auto"/>
              <w:bottom w:val="single" w:sz="4" w:space="0" w:color="auto"/>
            </w:tcBorders>
            <w:vAlign w:val="center"/>
          </w:tcPr>
          <w:p w14:paraId="11E489F8" w14:textId="1C6E97ED" w:rsidR="003E0B12" w:rsidRPr="003E0B12" w:rsidRDefault="003E0B12" w:rsidP="003E0B12">
            <w:pPr>
              <w:jc w:val="center"/>
              <w:rPr>
                <w:rFonts w:ascii="Arial" w:eastAsia="Helvetica Neue" w:hAnsi="Arial" w:cs="Arial"/>
                <w:color w:val="000000" w:themeColor="text1"/>
                <w:sz w:val="18"/>
                <w:szCs w:val="18"/>
              </w:rPr>
            </w:pPr>
            <w:r w:rsidRPr="003E0B12">
              <w:rPr>
                <w:rFonts w:ascii="Arial" w:hAnsi="Arial"/>
                <w:color w:val="000000" w:themeColor="text1"/>
                <w:sz w:val="18"/>
                <w:szCs w:val="18"/>
              </w:rPr>
              <w:t>214</w:t>
            </w:r>
          </w:p>
        </w:tc>
        <w:tc>
          <w:tcPr>
            <w:tcW w:w="1245" w:type="dxa"/>
            <w:tcBorders>
              <w:top w:val="single" w:sz="4" w:space="0" w:color="auto"/>
              <w:bottom w:val="single" w:sz="4" w:space="0" w:color="auto"/>
            </w:tcBorders>
            <w:vAlign w:val="center"/>
          </w:tcPr>
          <w:p w14:paraId="078DB8C1" w14:textId="77B54268" w:rsidR="003E0B12" w:rsidRPr="003E0B12" w:rsidRDefault="003E0B12" w:rsidP="003E0B12">
            <w:pPr>
              <w:jc w:val="center"/>
              <w:rPr>
                <w:rFonts w:ascii="Arial" w:eastAsia="Helvetica Neue" w:hAnsi="Arial" w:cs="Arial"/>
                <w:iCs/>
                <w:color w:val="000000" w:themeColor="text1"/>
                <w:sz w:val="18"/>
                <w:szCs w:val="18"/>
              </w:rPr>
            </w:pPr>
          </w:p>
        </w:tc>
        <w:tc>
          <w:tcPr>
            <w:tcW w:w="1294" w:type="dxa"/>
            <w:tcBorders>
              <w:top w:val="single" w:sz="4" w:space="0" w:color="auto"/>
              <w:bottom w:val="single" w:sz="4" w:space="0" w:color="auto"/>
            </w:tcBorders>
            <w:shd w:val="clear" w:color="auto" w:fill="D9D9D9" w:themeFill="background1" w:themeFillShade="D9"/>
            <w:vAlign w:val="center"/>
          </w:tcPr>
          <w:p w14:paraId="62F5666E" w14:textId="77777777" w:rsidR="003E0B12" w:rsidRPr="003E0B12" w:rsidRDefault="003E0B12" w:rsidP="003E0B12">
            <w:pPr>
              <w:jc w:val="center"/>
              <w:rPr>
                <w:rFonts w:ascii="Arial" w:eastAsia="Helvetica Neue" w:hAnsi="Arial" w:cs="Arial"/>
                <w:iCs/>
                <w:color w:val="000000" w:themeColor="text1"/>
                <w:sz w:val="18"/>
                <w:szCs w:val="18"/>
              </w:rPr>
            </w:pPr>
          </w:p>
        </w:tc>
        <w:tc>
          <w:tcPr>
            <w:tcW w:w="1298" w:type="dxa"/>
            <w:tcBorders>
              <w:top w:val="single" w:sz="4" w:space="0" w:color="auto"/>
              <w:bottom w:val="single" w:sz="4" w:space="0" w:color="auto"/>
            </w:tcBorders>
            <w:shd w:val="clear" w:color="auto" w:fill="D9D9D9" w:themeFill="background1" w:themeFillShade="D9"/>
            <w:vAlign w:val="center"/>
          </w:tcPr>
          <w:p w14:paraId="7B676B24" w14:textId="77777777" w:rsidR="003E0B12" w:rsidRPr="003E0B12" w:rsidRDefault="003E0B12" w:rsidP="003E0B12">
            <w:pPr>
              <w:jc w:val="center"/>
              <w:rPr>
                <w:rFonts w:ascii="Arial" w:eastAsia="Helvetica Neue" w:hAnsi="Arial" w:cs="Arial"/>
                <w:iCs/>
                <w:color w:val="000000" w:themeColor="text1"/>
                <w:sz w:val="18"/>
                <w:szCs w:val="18"/>
              </w:rPr>
            </w:pPr>
          </w:p>
        </w:tc>
      </w:tr>
    </w:tbl>
    <w:p w14:paraId="38CE3B3B" w14:textId="09B93144" w:rsidR="004E3223" w:rsidRPr="00196665" w:rsidRDefault="004E3223" w:rsidP="007D5E10">
      <w:pPr>
        <w:rPr>
          <w:rFonts w:ascii="Arial" w:eastAsia="Helvetica Neue" w:hAnsi="Arial" w:cs="Arial"/>
          <w:i/>
          <w:color w:val="000000"/>
          <w:sz w:val="22"/>
          <w:szCs w:val="22"/>
          <w:lang w:val="fr-FR"/>
        </w:rPr>
      </w:pPr>
    </w:p>
    <w:p w14:paraId="3C3FD458" w14:textId="77777777" w:rsidR="00365776" w:rsidRDefault="00365776" w:rsidP="00746F2B">
      <w:pPr>
        <w:jc w:val="both"/>
        <w:rPr>
          <w:rFonts w:ascii="Arial" w:eastAsia="Helvetica Neue" w:hAnsi="Arial" w:cs="Arial"/>
          <w:b/>
          <w:bCs/>
          <w:color w:val="000000"/>
          <w:sz w:val="20"/>
          <w:szCs w:val="20"/>
          <w:u w:val="single"/>
          <w:lang w:val="fr-FR"/>
        </w:rPr>
      </w:pPr>
    </w:p>
    <w:p w14:paraId="2B507AFA" w14:textId="77777777" w:rsidR="00847245" w:rsidRDefault="00847245" w:rsidP="00D44F6B">
      <w:pPr>
        <w:rPr>
          <w:rFonts w:ascii="Arial" w:eastAsia="Helvetica Neue" w:hAnsi="Arial" w:cs="Arial"/>
          <w:b/>
          <w:bCs/>
          <w:iCs/>
          <w:color w:val="000000"/>
          <w:sz w:val="20"/>
          <w:szCs w:val="20"/>
          <w:u w:val="single"/>
          <w:lang w:val="fr-FR"/>
        </w:rPr>
      </w:pPr>
    </w:p>
    <w:p w14:paraId="78B02C7C" w14:textId="58D776D7" w:rsidR="009A2FC3" w:rsidRPr="00196665" w:rsidRDefault="009A2FC3" w:rsidP="009A2FC3">
      <w:pPr>
        <w:jc w:val="both"/>
        <w:rPr>
          <w:rFonts w:ascii="Arial" w:eastAsia="Helvetica Neue" w:hAnsi="Arial" w:cs="Arial"/>
          <w:b/>
          <w:bCs/>
          <w:iCs/>
          <w:color w:val="000000"/>
          <w:sz w:val="20"/>
          <w:szCs w:val="20"/>
          <w:u w:val="single"/>
        </w:rPr>
      </w:pPr>
      <w:r>
        <w:rPr>
          <w:rFonts w:ascii="Arial" w:hAnsi="Arial"/>
          <w:b/>
          <w:bCs/>
          <w:iCs/>
          <w:color w:val="000000"/>
          <w:sz w:val="20"/>
          <w:szCs w:val="20"/>
          <w:u w:val="single"/>
        </w:rPr>
        <w:t>Solid financial performance</w:t>
      </w:r>
      <w:r w:rsidR="00C83224">
        <w:rPr>
          <w:rFonts w:ascii="Arial" w:hAnsi="Arial"/>
          <w:b/>
          <w:bCs/>
          <w:iCs/>
          <w:color w:val="000000"/>
          <w:sz w:val="20"/>
          <w:szCs w:val="20"/>
          <w:u w:val="single"/>
        </w:rPr>
        <w:t xml:space="preserve">, </w:t>
      </w:r>
      <w:r w:rsidR="00C83224" w:rsidRPr="00C83224">
        <w:rPr>
          <w:rFonts w:ascii="Arial" w:hAnsi="Arial"/>
          <w:b/>
          <w:bCs/>
          <w:iCs/>
          <w:color w:val="000000"/>
          <w:sz w:val="20"/>
          <w:szCs w:val="20"/>
          <w:u w:val="single"/>
        </w:rPr>
        <w:t xml:space="preserve">confirming </w:t>
      </w:r>
      <w:r w:rsidR="00C83224">
        <w:rPr>
          <w:rFonts w:ascii="Arial" w:hAnsi="Arial"/>
          <w:b/>
          <w:bCs/>
          <w:iCs/>
          <w:color w:val="000000"/>
          <w:sz w:val="20"/>
          <w:szCs w:val="20"/>
          <w:u w:val="single"/>
        </w:rPr>
        <w:t xml:space="preserve">the </w:t>
      </w:r>
      <w:r w:rsidR="00813A65">
        <w:rPr>
          <w:rFonts w:ascii="Arial" w:hAnsi="Arial"/>
          <w:b/>
          <w:bCs/>
          <w:iCs/>
          <w:color w:val="000000"/>
          <w:sz w:val="20"/>
          <w:szCs w:val="20"/>
          <w:u w:val="single"/>
        </w:rPr>
        <w:t xml:space="preserve">relevance of </w:t>
      </w:r>
      <w:r w:rsidR="00C83224">
        <w:rPr>
          <w:rFonts w:ascii="Arial" w:hAnsi="Arial"/>
          <w:b/>
          <w:bCs/>
          <w:iCs/>
          <w:color w:val="000000"/>
          <w:sz w:val="20"/>
          <w:szCs w:val="20"/>
          <w:u w:val="single"/>
        </w:rPr>
        <w:t>B</w:t>
      </w:r>
      <w:r w:rsidR="001A6986">
        <w:rPr>
          <w:rFonts w:ascii="Arial" w:hAnsi="Arial"/>
          <w:b/>
          <w:bCs/>
          <w:iCs/>
          <w:color w:val="000000"/>
          <w:sz w:val="20"/>
          <w:szCs w:val="20"/>
          <w:u w:val="single"/>
        </w:rPr>
        <w:t>el</w:t>
      </w:r>
      <w:r w:rsidR="00C83224">
        <w:rPr>
          <w:rFonts w:ascii="Arial" w:hAnsi="Arial"/>
          <w:b/>
          <w:bCs/>
          <w:iCs/>
          <w:color w:val="000000"/>
          <w:sz w:val="20"/>
          <w:szCs w:val="20"/>
          <w:u w:val="single"/>
        </w:rPr>
        <w:t xml:space="preserve">’s </w:t>
      </w:r>
      <w:r>
        <w:rPr>
          <w:rFonts w:ascii="Arial" w:hAnsi="Arial"/>
          <w:b/>
          <w:bCs/>
          <w:iCs/>
          <w:color w:val="000000"/>
          <w:sz w:val="20"/>
          <w:szCs w:val="20"/>
          <w:u w:val="single"/>
        </w:rPr>
        <w:t>strateg</w:t>
      </w:r>
      <w:r w:rsidR="00813A65">
        <w:rPr>
          <w:rFonts w:ascii="Arial" w:hAnsi="Arial"/>
          <w:b/>
          <w:bCs/>
          <w:iCs/>
          <w:color w:val="000000"/>
          <w:sz w:val="20"/>
          <w:szCs w:val="20"/>
          <w:u w:val="single"/>
        </w:rPr>
        <w:t>y</w:t>
      </w:r>
    </w:p>
    <w:p w14:paraId="19A77D65" w14:textId="77777777" w:rsidR="009A2FC3" w:rsidRPr="00E80D3C" w:rsidRDefault="009A2FC3" w:rsidP="009A2FC3">
      <w:pPr>
        <w:jc w:val="both"/>
        <w:rPr>
          <w:rFonts w:ascii="Arial" w:eastAsia="Helvetica Neue" w:hAnsi="Arial" w:cs="Arial"/>
          <w:color w:val="000000"/>
          <w:sz w:val="20"/>
          <w:szCs w:val="20"/>
          <w:lang w:val="en-GB"/>
        </w:rPr>
      </w:pPr>
    </w:p>
    <w:p w14:paraId="7385659E" w14:textId="3DDFCCF2" w:rsidR="007739CD" w:rsidRPr="006843D6" w:rsidRDefault="009A2FC3" w:rsidP="009A2FC3">
      <w:pPr>
        <w:jc w:val="both"/>
        <w:rPr>
          <w:rFonts w:ascii="Arial" w:eastAsia="Helvetica Neue" w:hAnsi="Arial" w:cs="Arial"/>
          <w:color w:val="000000" w:themeColor="text1"/>
          <w:sz w:val="20"/>
          <w:szCs w:val="20"/>
        </w:rPr>
      </w:pPr>
      <w:r>
        <w:rPr>
          <w:rFonts w:ascii="Arial" w:hAnsi="Arial"/>
          <w:color w:val="000000"/>
          <w:sz w:val="20"/>
          <w:szCs w:val="20"/>
        </w:rPr>
        <w:t xml:space="preserve">Bel recorded consolidated </w:t>
      </w:r>
      <w:r w:rsidR="00995258">
        <w:rPr>
          <w:rFonts w:ascii="Arial" w:hAnsi="Arial"/>
          <w:color w:val="000000"/>
          <w:sz w:val="20"/>
          <w:szCs w:val="20"/>
        </w:rPr>
        <w:t xml:space="preserve">net </w:t>
      </w:r>
      <w:r>
        <w:rPr>
          <w:rFonts w:ascii="Arial" w:hAnsi="Arial"/>
          <w:color w:val="000000"/>
          <w:sz w:val="20"/>
          <w:szCs w:val="20"/>
        </w:rPr>
        <w:t>sales of €</w:t>
      </w:r>
      <w:r w:rsidR="00A62379">
        <w:rPr>
          <w:rFonts w:ascii="Arial" w:hAnsi="Arial"/>
          <w:color w:val="000000"/>
          <w:sz w:val="20"/>
          <w:szCs w:val="20"/>
        </w:rPr>
        <w:t xml:space="preserve"> 3,644.9</w:t>
      </w:r>
      <w:r>
        <w:rPr>
          <w:rFonts w:ascii="Arial" w:hAnsi="Arial"/>
          <w:color w:val="000000"/>
          <w:sz w:val="20"/>
          <w:szCs w:val="20"/>
        </w:rPr>
        <w:t> million in 2023, representing organic growth of</w:t>
      </w:r>
      <w:r w:rsidR="00A62379">
        <w:rPr>
          <w:rFonts w:ascii="Arial" w:hAnsi="Arial"/>
          <w:color w:val="000000"/>
          <w:sz w:val="20"/>
          <w:szCs w:val="20"/>
        </w:rPr>
        <w:t xml:space="preserve"> 5.8</w:t>
      </w:r>
      <w:r>
        <w:rPr>
          <w:rFonts w:ascii="Arial" w:hAnsi="Arial"/>
          <w:color w:val="000000"/>
          <w:sz w:val="20"/>
          <w:szCs w:val="20"/>
        </w:rPr>
        <w:t>%. On a reported basis, sales grew</w:t>
      </w:r>
      <w:r w:rsidR="00A62379">
        <w:rPr>
          <w:rFonts w:ascii="Arial" w:hAnsi="Arial"/>
          <w:color w:val="000000"/>
          <w:sz w:val="20"/>
          <w:szCs w:val="20"/>
        </w:rPr>
        <w:t xml:space="preserve"> 1.4</w:t>
      </w:r>
      <w:r>
        <w:rPr>
          <w:rFonts w:ascii="Arial" w:hAnsi="Arial"/>
          <w:sz w:val="20"/>
          <w:szCs w:val="20"/>
        </w:rPr>
        <w:t>% year-on-year, reflecting a</w:t>
      </w:r>
      <w:r w:rsidR="00A62379">
        <w:rPr>
          <w:rFonts w:ascii="Arial" w:hAnsi="Arial"/>
          <w:sz w:val="20"/>
          <w:szCs w:val="20"/>
        </w:rPr>
        <w:t xml:space="preserve"> 1.8</w:t>
      </w:r>
      <w:r>
        <w:rPr>
          <w:rFonts w:ascii="Arial" w:hAnsi="Arial"/>
          <w:sz w:val="20"/>
          <w:szCs w:val="20"/>
        </w:rPr>
        <w:t>% negative impact from changes in the scope of consolidation, corresponding to the sale of Bel’s stake in Moroccan company Safilait, which was partially offset by the acquisition of a majority stake in China’s Shandong Junjun Cheese, and an unfavorable foreign exchange impact of</w:t>
      </w:r>
      <w:r w:rsidR="008D7471">
        <w:rPr>
          <w:rFonts w:ascii="Arial" w:hAnsi="Arial"/>
          <w:sz w:val="20"/>
          <w:szCs w:val="20"/>
        </w:rPr>
        <w:t xml:space="preserve"> 2.6</w:t>
      </w:r>
      <w:r>
        <w:rPr>
          <w:rFonts w:ascii="Arial" w:hAnsi="Arial"/>
          <w:sz w:val="20"/>
          <w:szCs w:val="20"/>
        </w:rPr>
        <w:t>%.</w:t>
      </w:r>
    </w:p>
    <w:p w14:paraId="2023F0A3" w14:textId="77777777" w:rsidR="0066386E" w:rsidRPr="00E80D3C" w:rsidRDefault="0066386E" w:rsidP="009A2FC3">
      <w:pPr>
        <w:jc w:val="both"/>
        <w:rPr>
          <w:rFonts w:ascii="Arial" w:eastAsia="Helvetica Neue" w:hAnsi="Arial" w:cs="Arial"/>
          <w:color w:val="000000"/>
          <w:sz w:val="20"/>
          <w:szCs w:val="20"/>
          <w:lang w:val="en-GB"/>
        </w:rPr>
      </w:pPr>
    </w:p>
    <w:p w14:paraId="2883FAD7" w14:textId="770252A2" w:rsidR="009A2FC3" w:rsidRDefault="002E7AC6" w:rsidP="009A2FC3">
      <w:pPr>
        <w:jc w:val="both"/>
        <w:rPr>
          <w:rFonts w:ascii="Arial" w:eastAsia="Helvetica Neue" w:hAnsi="Arial" w:cs="Arial"/>
          <w:color w:val="000000"/>
          <w:sz w:val="20"/>
          <w:szCs w:val="20"/>
        </w:rPr>
      </w:pPr>
      <w:r>
        <w:rPr>
          <w:rFonts w:ascii="Arial" w:hAnsi="Arial"/>
          <w:color w:val="000000"/>
          <w:sz w:val="20"/>
          <w:szCs w:val="20"/>
        </w:rPr>
        <w:t xml:space="preserve">This solid performance is primarily attributable to strong growth in the </w:t>
      </w:r>
      <w:r>
        <w:rPr>
          <w:rFonts w:ascii="Arial" w:hAnsi="Arial"/>
          <w:color w:val="000000" w:themeColor="text1"/>
          <w:sz w:val="20"/>
          <w:szCs w:val="20"/>
        </w:rPr>
        <w:t xml:space="preserve">fruit segment across all geographies, resilience </w:t>
      </w:r>
      <w:r w:rsidR="001A6986">
        <w:rPr>
          <w:rFonts w:ascii="Arial" w:hAnsi="Arial"/>
          <w:color w:val="000000" w:themeColor="text1"/>
          <w:sz w:val="20"/>
          <w:szCs w:val="20"/>
        </w:rPr>
        <w:t>of dairy products</w:t>
      </w:r>
      <w:r>
        <w:rPr>
          <w:rFonts w:ascii="Arial" w:hAnsi="Arial"/>
          <w:color w:val="000000" w:themeColor="text1"/>
          <w:sz w:val="20"/>
          <w:szCs w:val="20"/>
        </w:rPr>
        <w:t xml:space="preserve">, further sharp gains in China, healthy momentum in North America </w:t>
      </w:r>
      <w:r>
        <w:rPr>
          <w:rFonts w:ascii="Arial" w:hAnsi="Arial"/>
          <w:color w:val="000000"/>
          <w:sz w:val="20"/>
          <w:szCs w:val="20"/>
        </w:rPr>
        <w:t xml:space="preserve">and Asia and responsible, disciplined management of price increases in an environment </w:t>
      </w:r>
      <w:r w:rsidR="00F22062">
        <w:rPr>
          <w:rFonts w:ascii="Arial" w:hAnsi="Arial"/>
          <w:color w:val="000000"/>
          <w:sz w:val="20"/>
          <w:szCs w:val="20"/>
        </w:rPr>
        <w:t>impacted by</w:t>
      </w:r>
      <w:r>
        <w:rPr>
          <w:rFonts w:ascii="Arial" w:hAnsi="Arial"/>
          <w:color w:val="000000"/>
          <w:sz w:val="20"/>
          <w:szCs w:val="20"/>
        </w:rPr>
        <w:t xml:space="preserve"> inflation. Organic growth in consolidated sales was driven by increased sales of GoGo </w:t>
      </w:r>
      <w:r w:rsidRPr="006038FA">
        <w:rPr>
          <w:rFonts w:ascii="Arial" w:hAnsi="Arial"/>
          <w:color w:val="000000"/>
          <w:sz w:val="20"/>
          <w:szCs w:val="20"/>
        </w:rPr>
        <w:t>squeeZ</w:t>
      </w:r>
      <w:r>
        <w:rPr>
          <w:rFonts w:ascii="Arial" w:hAnsi="Arial"/>
          <w:color w:val="000000"/>
          <w:sz w:val="20"/>
          <w:szCs w:val="20"/>
          <w:vertAlign w:val="superscript"/>
        </w:rPr>
        <w:t>®</w:t>
      </w:r>
      <w:r>
        <w:rPr>
          <w:rFonts w:ascii="Arial" w:hAnsi="Arial"/>
          <w:color w:val="000000"/>
          <w:sz w:val="20"/>
          <w:szCs w:val="20"/>
        </w:rPr>
        <w:t xml:space="preserve"> and Pom’Potes</w:t>
      </w:r>
      <w:r>
        <w:rPr>
          <w:rFonts w:ascii="Arial" w:hAnsi="Arial"/>
          <w:color w:val="000000"/>
          <w:sz w:val="20"/>
          <w:szCs w:val="20"/>
          <w:vertAlign w:val="superscript"/>
        </w:rPr>
        <w:t>®</w:t>
      </w:r>
      <w:r>
        <w:rPr>
          <w:rFonts w:ascii="Arial" w:hAnsi="Arial"/>
          <w:color w:val="000000"/>
          <w:sz w:val="20"/>
          <w:szCs w:val="20"/>
        </w:rPr>
        <w:t xml:space="preserve"> products. Other core brands – particularly Kiri</w:t>
      </w:r>
      <w:r>
        <w:rPr>
          <w:rFonts w:ascii="Arial" w:hAnsi="Arial"/>
          <w:color w:val="000000"/>
          <w:sz w:val="20"/>
          <w:szCs w:val="20"/>
          <w:vertAlign w:val="superscript"/>
        </w:rPr>
        <w:t>®</w:t>
      </w:r>
      <w:r>
        <w:rPr>
          <w:rFonts w:ascii="Arial" w:hAnsi="Arial"/>
          <w:color w:val="000000"/>
          <w:sz w:val="20"/>
          <w:szCs w:val="20"/>
        </w:rPr>
        <w:t xml:space="preserve"> and Boursin</w:t>
      </w:r>
      <w:r>
        <w:rPr>
          <w:rFonts w:ascii="Arial" w:hAnsi="Arial"/>
          <w:color w:val="000000"/>
          <w:sz w:val="20"/>
          <w:szCs w:val="20"/>
          <w:vertAlign w:val="superscript"/>
        </w:rPr>
        <w:t>®</w:t>
      </w:r>
      <w:r>
        <w:rPr>
          <w:rFonts w:ascii="Arial" w:hAnsi="Arial"/>
          <w:color w:val="000000"/>
          <w:sz w:val="20"/>
          <w:szCs w:val="20"/>
        </w:rPr>
        <w:t xml:space="preserve"> – pursued their positive trajectory in North America and enjoyed very strong sales growth in China. </w:t>
      </w:r>
    </w:p>
    <w:p w14:paraId="6A3ADFE5" w14:textId="77777777" w:rsidR="009A2FC3" w:rsidRPr="00E80D3C" w:rsidRDefault="009A2FC3" w:rsidP="009A2FC3">
      <w:pPr>
        <w:jc w:val="both"/>
        <w:rPr>
          <w:rFonts w:ascii="Arial" w:eastAsia="Helvetica Neue" w:hAnsi="Arial" w:cs="Arial"/>
          <w:color w:val="000000"/>
          <w:sz w:val="20"/>
          <w:szCs w:val="20"/>
          <w:lang w:val="en-GB"/>
        </w:rPr>
      </w:pPr>
    </w:p>
    <w:p w14:paraId="10940A97" w14:textId="51A34452" w:rsidR="00024E00" w:rsidRDefault="008B654F" w:rsidP="009A2FC3">
      <w:pPr>
        <w:jc w:val="both"/>
        <w:rPr>
          <w:rFonts w:ascii="Arial" w:eastAsia="Helvetica Neue" w:hAnsi="Arial" w:cs="Arial"/>
          <w:color w:val="000000"/>
          <w:sz w:val="20"/>
          <w:szCs w:val="20"/>
        </w:rPr>
      </w:pPr>
      <w:r>
        <w:rPr>
          <w:rFonts w:ascii="Arial" w:hAnsi="Arial"/>
          <w:color w:val="000000"/>
          <w:sz w:val="20"/>
          <w:szCs w:val="20"/>
        </w:rPr>
        <w:t>The out-of-home (OOH) and e-commerce distribution channels recorded sustained growth in their sales revenues for the third consecutive year. The e</w:t>
      </w:r>
      <w:r>
        <w:rPr>
          <w:rFonts w:ascii="Arial" w:hAnsi="Arial"/>
          <w:color w:val="000000"/>
          <w:sz w:val="20"/>
          <w:szCs w:val="20"/>
        </w:rPr>
        <w:noBreakHyphen/>
        <w:t>commerce business continued its development, notably in China, the United States, the United Kingdom and Ireland. The OOH</w:t>
      </w:r>
      <w:r w:rsidR="00F22062">
        <w:rPr>
          <w:rFonts w:ascii="Arial" w:hAnsi="Arial"/>
          <w:color w:val="000000"/>
          <w:sz w:val="20"/>
          <w:szCs w:val="20"/>
        </w:rPr>
        <w:t>,</w:t>
      </w:r>
      <w:r>
        <w:rPr>
          <w:rFonts w:ascii="Arial" w:hAnsi="Arial"/>
          <w:color w:val="000000"/>
          <w:sz w:val="20"/>
          <w:szCs w:val="20"/>
        </w:rPr>
        <w:t xml:space="preserve"> </w:t>
      </w:r>
      <w:r w:rsidR="006134F8" w:rsidRPr="006134F8">
        <w:rPr>
          <w:rFonts w:ascii="Arial" w:hAnsi="Arial"/>
          <w:color w:val="000000"/>
          <w:sz w:val="20"/>
          <w:szCs w:val="20"/>
        </w:rPr>
        <w:t xml:space="preserve">strategic </w:t>
      </w:r>
      <w:r>
        <w:rPr>
          <w:rFonts w:ascii="Arial" w:hAnsi="Arial"/>
          <w:color w:val="000000"/>
          <w:sz w:val="20"/>
          <w:szCs w:val="20"/>
        </w:rPr>
        <w:t>segment</w:t>
      </w:r>
      <w:r w:rsidR="00F22062">
        <w:rPr>
          <w:rFonts w:ascii="Arial" w:hAnsi="Arial"/>
          <w:color w:val="000000"/>
          <w:sz w:val="20"/>
          <w:szCs w:val="20"/>
        </w:rPr>
        <w:t>,</w:t>
      </w:r>
      <w:r>
        <w:rPr>
          <w:rFonts w:ascii="Arial" w:hAnsi="Arial"/>
          <w:color w:val="000000"/>
          <w:sz w:val="20"/>
          <w:szCs w:val="20"/>
        </w:rPr>
        <w:t xml:space="preserve"> also posted a positive performance, with particularly strong gains in France and Asia, especially China.</w:t>
      </w:r>
    </w:p>
    <w:p w14:paraId="48BB2B0F" w14:textId="77777777" w:rsidR="00256FA3" w:rsidRDefault="00256FA3" w:rsidP="009A2FC3">
      <w:pPr>
        <w:jc w:val="both"/>
        <w:rPr>
          <w:rFonts w:ascii="Arial" w:eastAsia="Helvetica Neue" w:hAnsi="Arial" w:cs="Arial"/>
          <w:color w:val="000000"/>
          <w:sz w:val="20"/>
          <w:szCs w:val="20"/>
        </w:rPr>
      </w:pPr>
    </w:p>
    <w:p w14:paraId="0A9C3077" w14:textId="46710BEF" w:rsidR="00256FA3" w:rsidRDefault="00256FA3">
      <w:pPr>
        <w:rPr>
          <w:rFonts w:ascii="Arial" w:eastAsia="Helvetica Neue" w:hAnsi="Arial" w:cs="Arial"/>
          <w:color w:val="000000"/>
          <w:sz w:val="20"/>
          <w:szCs w:val="20"/>
        </w:rPr>
      </w:pPr>
      <w:r>
        <w:rPr>
          <w:rFonts w:ascii="Arial" w:eastAsia="Helvetica Neue" w:hAnsi="Arial" w:cs="Arial"/>
          <w:color w:val="000000"/>
          <w:sz w:val="20"/>
          <w:szCs w:val="20"/>
        </w:rPr>
        <w:br w:type="page"/>
      </w:r>
    </w:p>
    <w:p w14:paraId="79E3B1D4" w14:textId="77777777" w:rsidR="00256FA3" w:rsidRPr="00256FA3" w:rsidRDefault="00256FA3" w:rsidP="009A2FC3">
      <w:pPr>
        <w:jc w:val="both"/>
        <w:rPr>
          <w:rFonts w:ascii="Arial" w:eastAsia="Helvetica Neue" w:hAnsi="Arial" w:cs="Arial"/>
          <w:color w:val="000000"/>
          <w:sz w:val="20"/>
          <w:szCs w:val="20"/>
        </w:rPr>
      </w:pPr>
    </w:p>
    <w:p w14:paraId="7C2FDF19" w14:textId="77777777" w:rsidR="00024E00" w:rsidRPr="00E80D3C" w:rsidRDefault="00024E00" w:rsidP="009A2FC3">
      <w:pPr>
        <w:jc w:val="both"/>
        <w:rPr>
          <w:rFonts w:ascii="Arial" w:eastAsia="Helvetica Neue" w:hAnsi="Arial" w:cs="Arial"/>
          <w:color w:val="000000"/>
          <w:sz w:val="20"/>
          <w:szCs w:val="20"/>
          <w:lang w:val="en-GB"/>
        </w:rPr>
      </w:pPr>
    </w:p>
    <w:tbl>
      <w:tblPr>
        <w:tblStyle w:val="Grilledutableau"/>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1545"/>
        <w:gridCol w:w="1559"/>
        <w:gridCol w:w="236"/>
        <w:gridCol w:w="1607"/>
        <w:gridCol w:w="1775"/>
      </w:tblGrid>
      <w:tr w:rsidR="009A2FC3" w:rsidRPr="00196665" w14:paraId="25F67998" w14:textId="77777777" w:rsidTr="00F52CAC">
        <w:tc>
          <w:tcPr>
            <w:tcW w:w="2703" w:type="dxa"/>
            <w:vAlign w:val="center"/>
          </w:tcPr>
          <w:p w14:paraId="4D743736" w14:textId="77777777" w:rsidR="009A2FC3" w:rsidRPr="00E80D3C" w:rsidRDefault="009A2FC3" w:rsidP="00F52CAC">
            <w:pPr>
              <w:jc w:val="center"/>
              <w:rPr>
                <w:rFonts w:ascii="Arial" w:eastAsia="Helvetica Neue" w:hAnsi="Arial" w:cs="Arial"/>
                <w:color w:val="000000"/>
                <w:sz w:val="18"/>
                <w:szCs w:val="18"/>
                <w:lang w:val="en-GB"/>
              </w:rPr>
            </w:pPr>
          </w:p>
        </w:tc>
        <w:tc>
          <w:tcPr>
            <w:tcW w:w="3104" w:type="dxa"/>
            <w:gridSpan w:val="2"/>
            <w:tcBorders>
              <w:bottom w:val="single" w:sz="4" w:space="0" w:color="auto"/>
            </w:tcBorders>
            <w:vAlign w:val="center"/>
          </w:tcPr>
          <w:p w14:paraId="7E770122" w14:textId="1F49EF98" w:rsidR="009A2FC3" w:rsidRPr="00196665" w:rsidRDefault="009A2FC3" w:rsidP="00F52CAC">
            <w:pPr>
              <w:jc w:val="center"/>
              <w:rPr>
                <w:rFonts w:ascii="Arial" w:eastAsia="Helvetica Neue" w:hAnsi="Arial" w:cs="Arial"/>
                <w:b/>
                <w:bCs/>
                <w:color w:val="000000"/>
                <w:sz w:val="18"/>
                <w:szCs w:val="18"/>
              </w:rPr>
            </w:pPr>
            <w:r>
              <w:rPr>
                <w:rFonts w:ascii="Arial" w:hAnsi="Arial"/>
                <w:b/>
                <w:bCs/>
                <w:color w:val="000000"/>
                <w:sz w:val="18"/>
                <w:szCs w:val="18"/>
              </w:rPr>
              <w:t>2023</w:t>
            </w:r>
          </w:p>
        </w:tc>
        <w:tc>
          <w:tcPr>
            <w:tcW w:w="236" w:type="dxa"/>
            <w:vAlign w:val="center"/>
          </w:tcPr>
          <w:p w14:paraId="3673727C" w14:textId="77777777" w:rsidR="009A2FC3" w:rsidRPr="00196665" w:rsidRDefault="009A2FC3" w:rsidP="00F52CAC">
            <w:pPr>
              <w:jc w:val="center"/>
              <w:rPr>
                <w:rFonts w:ascii="Arial" w:eastAsia="Helvetica Neue" w:hAnsi="Arial" w:cs="Arial"/>
                <w:b/>
                <w:bCs/>
                <w:color w:val="000000"/>
                <w:sz w:val="18"/>
                <w:szCs w:val="18"/>
                <w:lang w:val="fr-FR"/>
              </w:rPr>
            </w:pPr>
          </w:p>
        </w:tc>
        <w:tc>
          <w:tcPr>
            <w:tcW w:w="3382" w:type="dxa"/>
            <w:gridSpan w:val="2"/>
            <w:tcBorders>
              <w:bottom w:val="single" w:sz="4" w:space="0" w:color="auto"/>
            </w:tcBorders>
            <w:vAlign w:val="center"/>
          </w:tcPr>
          <w:p w14:paraId="05FBBFB7" w14:textId="127644CD" w:rsidR="009A2FC3" w:rsidRPr="00196665" w:rsidRDefault="009A2FC3" w:rsidP="00F52CAC">
            <w:pPr>
              <w:jc w:val="center"/>
              <w:rPr>
                <w:rFonts w:ascii="Arial" w:eastAsia="Helvetica Neue" w:hAnsi="Arial" w:cs="Arial"/>
                <w:b/>
                <w:bCs/>
                <w:color w:val="000000"/>
                <w:sz w:val="18"/>
                <w:szCs w:val="18"/>
              </w:rPr>
            </w:pPr>
            <w:r>
              <w:rPr>
                <w:rFonts w:ascii="Arial" w:hAnsi="Arial"/>
                <w:b/>
                <w:bCs/>
                <w:color w:val="000000"/>
                <w:sz w:val="18"/>
                <w:szCs w:val="18"/>
              </w:rPr>
              <w:t>2022</w:t>
            </w:r>
          </w:p>
        </w:tc>
      </w:tr>
      <w:tr w:rsidR="009A2FC3" w:rsidRPr="00196665" w14:paraId="0573959F" w14:textId="77777777" w:rsidTr="00F52CAC">
        <w:tc>
          <w:tcPr>
            <w:tcW w:w="2703" w:type="dxa"/>
            <w:tcBorders>
              <w:bottom w:val="double" w:sz="4" w:space="0" w:color="auto"/>
            </w:tcBorders>
            <w:vAlign w:val="center"/>
          </w:tcPr>
          <w:p w14:paraId="7BA372D7" w14:textId="77777777" w:rsidR="009A2FC3" w:rsidRPr="00196665" w:rsidRDefault="009A2FC3" w:rsidP="00F52CAC">
            <w:pPr>
              <w:jc w:val="center"/>
              <w:rPr>
                <w:rFonts w:ascii="Arial" w:eastAsia="Helvetica Neue" w:hAnsi="Arial" w:cs="Arial"/>
                <w:i/>
                <w:iCs/>
                <w:color w:val="000000"/>
                <w:sz w:val="18"/>
                <w:szCs w:val="18"/>
              </w:rPr>
            </w:pPr>
            <w:r>
              <w:rPr>
                <w:rFonts w:ascii="Arial" w:hAnsi="Arial"/>
                <w:i/>
                <w:iCs/>
                <w:color w:val="000000"/>
                <w:sz w:val="18"/>
                <w:szCs w:val="18"/>
              </w:rPr>
              <w:t>millions of euros</w:t>
            </w:r>
          </w:p>
        </w:tc>
        <w:tc>
          <w:tcPr>
            <w:tcW w:w="1545" w:type="dxa"/>
            <w:tcBorders>
              <w:top w:val="single" w:sz="4" w:space="0" w:color="auto"/>
              <w:bottom w:val="double" w:sz="4" w:space="0" w:color="auto"/>
            </w:tcBorders>
            <w:vAlign w:val="center"/>
          </w:tcPr>
          <w:p w14:paraId="5CD9BA5E" w14:textId="77777777" w:rsidR="00270459" w:rsidRDefault="00270459" w:rsidP="00F52CAC">
            <w:pPr>
              <w:jc w:val="center"/>
              <w:rPr>
                <w:rFonts w:ascii="Arial" w:hAnsi="Arial"/>
                <w:color w:val="000000"/>
                <w:sz w:val="18"/>
                <w:szCs w:val="18"/>
              </w:rPr>
            </w:pPr>
          </w:p>
          <w:p w14:paraId="18BAB100" w14:textId="6741A812" w:rsidR="00995258" w:rsidRDefault="00995258" w:rsidP="00F52CAC">
            <w:pPr>
              <w:jc w:val="center"/>
              <w:rPr>
                <w:rFonts w:ascii="Arial" w:hAnsi="Arial"/>
                <w:color w:val="000000"/>
                <w:sz w:val="18"/>
                <w:szCs w:val="18"/>
              </w:rPr>
            </w:pPr>
            <w:r>
              <w:rPr>
                <w:rFonts w:ascii="Arial" w:hAnsi="Arial"/>
                <w:color w:val="000000"/>
                <w:sz w:val="18"/>
                <w:szCs w:val="18"/>
              </w:rPr>
              <w:t xml:space="preserve">Net </w:t>
            </w:r>
          </w:p>
          <w:p w14:paraId="48798BE7" w14:textId="43225F9C"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 xml:space="preserve">Sales </w:t>
            </w:r>
          </w:p>
          <w:p w14:paraId="79F90909" w14:textId="77777777"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 xml:space="preserve"> </w:t>
            </w:r>
          </w:p>
        </w:tc>
        <w:tc>
          <w:tcPr>
            <w:tcW w:w="1559" w:type="dxa"/>
            <w:tcBorders>
              <w:top w:val="single" w:sz="4" w:space="0" w:color="auto"/>
              <w:bottom w:val="double" w:sz="4" w:space="0" w:color="auto"/>
            </w:tcBorders>
            <w:vAlign w:val="center"/>
          </w:tcPr>
          <w:p w14:paraId="61DCA297" w14:textId="77777777"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Operating income</w:t>
            </w:r>
          </w:p>
        </w:tc>
        <w:tc>
          <w:tcPr>
            <w:tcW w:w="236" w:type="dxa"/>
            <w:tcBorders>
              <w:bottom w:val="double" w:sz="4" w:space="0" w:color="auto"/>
            </w:tcBorders>
            <w:vAlign w:val="center"/>
          </w:tcPr>
          <w:p w14:paraId="685672AA" w14:textId="77777777" w:rsidR="009A2FC3" w:rsidRPr="00196665" w:rsidRDefault="009A2FC3" w:rsidP="00F52CAC">
            <w:pPr>
              <w:jc w:val="center"/>
              <w:rPr>
                <w:rFonts w:ascii="Arial" w:eastAsia="Helvetica Neue" w:hAnsi="Arial" w:cs="Arial"/>
                <w:color w:val="000000"/>
                <w:sz w:val="18"/>
                <w:szCs w:val="18"/>
                <w:lang w:val="fr-FR"/>
              </w:rPr>
            </w:pPr>
          </w:p>
        </w:tc>
        <w:tc>
          <w:tcPr>
            <w:tcW w:w="1607" w:type="dxa"/>
            <w:tcBorders>
              <w:top w:val="single" w:sz="4" w:space="0" w:color="auto"/>
              <w:bottom w:val="double" w:sz="4" w:space="0" w:color="auto"/>
            </w:tcBorders>
            <w:vAlign w:val="center"/>
          </w:tcPr>
          <w:p w14:paraId="5E086099" w14:textId="77777777" w:rsidR="00270459" w:rsidRDefault="00270459" w:rsidP="00F52CAC">
            <w:pPr>
              <w:jc w:val="center"/>
              <w:rPr>
                <w:rFonts w:ascii="Arial" w:hAnsi="Arial"/>
                <w:color w:val="000000"/>
                <w:sz w:val="18"/>
                <w:szCs w:val="18"/>
              </w:rPr>
            </w:pPr>
          </w:p>
          <w:p w14:paraId="6AB88064" w14:textId="27CF7D58" w:rsidR="00995258" w:rsidRDefault="00995258" w:rsidP="00F52CAC">
            <w:pPr>
              <w:jc w:val="center"/>
              <w:rPr>
                <w:rFonts w:ascii="Arial" w:hAnsi="Arial"/>
                <w:color w:val="000000"/>
                <w:sz w:val="18"/>
                <w:szCs w:val="18"/>
              </w:rPr>
            </w:pPr>
            <w:r>
              <w:rPr>
                <w:rFonts w:ascii="Arial" w:hAnsi="Arial"/>
                <w:color w:val="000000"/>
                <w:sz w:val="18"/>
                <w:szCs w:val="18"/>
              </w:rPr>
              <w:t>Net</w:t>
            </w:r>
          </w:p>
          <w:p w14:paraId="5779CE9B" w14:textId="4E7B4951"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 xml:space="preserve">Sales </w:t>
            </w:r>
          </w:p>
          <w:p w14:paraId="76F7EAE5" w14:textId="77777777"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 xml:space="preserve"> </w:t>
            </w:r>
          </w:p>
        </w:tc>
        <w:tc>
          <w:tcPr>
            <w:tcW w:w="1775" w:type="dxa"/>
            <w:tcBorders>
              <w:top w:val="single" w:sz="4" w:space="0" w:color="auto"/>
              <w:bottom w:val="double" w:sz="4" w:space="0" w:color="auto"/>
            </w:tcBorders>
            <w:vAlign w:val="center"/>
          </w:tcPr>
          <w:p w14:paraId="222AFBFE" w14:textId="77777777" w:rsidR="00995258" w:rsidRDefault="009A2FC3" w:rsidP="00F52CAC">
            <w:pPr>
              <w:jc w:val="center"/>
              <w:rPr>
                <w:rFonts w:ascii="Arial" w:hAnsi="Arial"/>
                <w:color w:val="000000"/>
                <w:sz w:val="18"/>
                <w:szCs w:val="18"/>
              </w:rPr>
            </w:pPr>
            <w:r>
              <w:rPr>
                <w:rFonts w:ascii="Arial" w:hAnsi="Arial"/>
                <w:color w:val="000000"/>
                <w:sz w:val="18"/>
                <w:szCs w:val="18"/>
              </w:rPr>
              <w:t xml:space="preserve">Operating </w:t>
            </w:r>
          </w:p>
          <w:p w14:paraId="1FFB4430" w14:textId="4D2511DC" w:rsidR="009A2FC3" w:rsidRPr="00196665" w:rsidRDefault="009A2FC3" w:rsidP="00F52CAC">
            <w:pPr>
              <w:jc w:val="center"/>
              <w:rPr>
                <w:rFonts w:ascii="Arial" w:eastAsia="Helvetica Neue" w:hAnsi="Arial" w:cs="Arial"/>
                <w:color w:val="000000"/>
                <w:sz w:val="18"/>
                <w:szCs w:val="18"/>
              </w:rPr>
            </w:pPr>
            <w:r>
              <w:rPr>
                <w:rFonts w:ascii="Arial" w:hAnsi="Arial"/>
                <w:color w:val="000000"/>
                <w:sz w:val="18"/>
                <w:szCs w:val="18"/>
              </w:rPr>
              <w:t>income</w:t>
            </w:r>
          </w:p>
        </w:tc>
      </w:tr>
      <w:tr w:rsidR="000E2760" w:rsidRPr="00196665" w14:paraId="00EFF5BB" w14:textId="77777777" w:rsidTr="00024E00">
        <w:trPr>
          <w:trHeight w:val="273"/>
        </w:trPr>
        <w:tc>
          <w:tcPr>
            <w:tcW w:w="2703" w:type="dxa"/>
            <w:tcBorders>
              <w:top w:val="double" w:sz="4" w:space="0" w:color="auto"/>
            </w:tcBorders>
            <w:vAlign w:val="center"/>
          </w:tcPr>
          <w:p w14:paraId="3E3FA05F" w14:textId="77777777" w:rsidR="000E2760" w:rsidRPr="00196665" w:rsidRDefault="000E2760" w:rsidP="00024E00">
            <w:pPr>
              <w:rPr>
                <w:rFonts w:ascii="Arial" w:eastAsia="Helvetica Neue" w:hAnsi="Arial" w:cs="Arial"/>
                <w:color w:val="000000"/>
                <w:sz w:val="18"/>
                <w:szCs w:val="18"/>
              </w:rPr>
            </w:pPr>
            <w:r>
              <w:rPr>
                <w:rFonts w:ascii="Arial" w:hAnsi="Arial"/>
                <w:color w:val="000000"/>
                <w:sz w:val="18"/>
                <w:szCs w:val="18"/>
              </w:rPr>
              <w:t>Mature markets</w:t>
            </w:r>
          </w:p>
        </w:tc>
        <w:tc>
          <w:tcPr>
            <w:tcW w:w="1545" w:type="dxa"/>
            <w:tcBorders>
              <w:top w:val="double" w:sz="4" w:space="0" w:color="auto"/>
            </w:tcBorders>
            <w:vAlign w:val="center"/>
          </w:tcPr>
          <w:p w14:paraId="29F82B6A" w14:textId="79FDC015" w:rsidR="000E2760" w:rsidRPr="00024E00" w:rsidRDefault="00024E00" w:rsidP="00024E00">
            <w:pPr>
              <w:jc w:val="center"/>
              <w:rPr>
                <w:rFonts w:ascii="Arial" w:eastAsia="Helvetica Neue" w:hAnsi="Arial" w:cs="Arial"/>
                <w:color w:val="000000" w:themeColor="text1"/>
                <w:sz w:val="18"/>
                <w:szCs w:val="18"/>
              </w:rPr>
            </w:pPr>
            <w:r w:rsidRPr="00024E00">
              <w:rPr>
                <w:rFonts w:ascii="Arial" w:eastAsia="Helvetica Neue" w:hAnsi="Arial" w:cs="Arial"/>
                <w:color w:val="000000" w:themeColor="text1"/>
                <w:sz w:val="18"/>
                <w:szCs w:val="18"/>
              </w:rPr>
              <w:t>2,591</w:t>
            </w:r>
          </w:p>
        </w:tc>
        <w:tc>
          <w:tcPr>
            <w:tcW w:w="1559" w:type="dxa"/>
            <w:tcBorders>
              <w:top w:val="double" w:sz="4" w:space="0" w:color="auto"/>
            </w:tcBorders>
            <w:vAlign w:val="center"/>
          </w:tcPr>
          <w:p w14:paraId="30A63F40" w14:textId="6FC499CE"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94</w:t>
            </w:r>
          </w:p>
        </w:tc>
        <w:tc>
          <w:tcPr>
            <w:tcW w:w="236" w:type="dxa"/>
            <w:tcBorders>
              <w:top w:val="double" w:sz="4" w:space="0" w:color="auto"/>
            </w:tcBorders>
            <w:vAlign w:val="center"/>
          </w:tcPr>
          <w:p w14:paraId="74D54780" w14:textId="651FF92B" w:rsidR="000E2760" w:rsidRPr="00024E00" w:rsidRDefault="000E2760" w:rsidP="00024E00">
            <w:pPr>
              <w:jc w:val="center"/>
              <w:rPr>
                <w:rFonts w:ascii="Arial" w:eastAsia="Helvetica Neue" w:hAnsi="Arial" w:cs="Arial"/>
                <w:color w:val="000000" w:themeColor="text1"/>
                <w:sz w:val="18"/>
                <w:szCs w:val="18"/>
              </w:rPr>
            </w:pPr>
          </w:p>
        </w:tc>
        <w:tc>
          <w:tcPr>
            <w:tcW w:w="1607" w:type="dxa"/>
            <w:tcBorders>
              <w:top w:val="double" w:sz="4" w:space="0" w:color="auto"/>
            </w:tcBorders>
            <w:vAlign w:val="center"/>
          </w:tcPr>
          <w:p w14:paraId="3524DDC1" w14:textId="13D16DE3"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2,645</w:t>
            </w:r>
          </w:p>
        </w:tc>
        <w:tc>
          <w:tcPr>
            <w:tcW w:w="1775" w:type="dxa"/>
            <w:tcBorders>
              <w:top w:val="double" w:sz="4" w:space="0" w:color="auto"/>
            </w:tcBorders>
            <w:vAlign w:val="center"/>
          </w:tcPr>
          <w:p w14:paraId="625C1073" w14:textId="4FB01F7C"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54</w:t>
            </w:r>
          </w:p>
        </w:tc>
      </w:tr>
      <w:tr w:rsidR="000E2760" w:rsidRPr="00196665" w14:paraId="161692EA" w14:textId="77777777" w:rsidTr="00024E00">
        <w:trPr>
          <w:trHeight w:val="348"/>
        </w:trPr>
        <w:tc>
          <w:tcPr>
            <w:tcW w:w="2703" w:type="dxa"/>
            <w:tcBorders>
              <w:bottom w:val="single" w:sz="4" w:space="0" w:color="auto"/>
            </w:tcBorders>
            <w:vAlign w:val="center"/>
          </w:tcPr>
          <w:p w14:paraId="10B2B445" w14:textId="77777777" w:rsidR="000E2760" w:rsidRPr="00196665" w:rsidRDefault="000E2760" w:rsidP="00024E00">
            <w:pPr>
              <w:rPr>
                <w:rFonts w:ascii="Arial" w:eastAsia="Helvetica Neue" w:hAnsi="Arial" w:cs="Arial"/>
                <w:color w:val="000000"/>
                <w:sz w:val="18"/>
                <w:szCs w:val="18"/>
              </w:rPr>
            </w:pPr>
            <w:r>
              <w:rPr>
                <w:rFonts w:ascii="Arial" w:hAnsi="Arial"/>
                <w:color w:val="000000"/>
                <w:sz w:val="18"/>
                <w:szCs w:val="18"/>
              </w:rPr>
              <w:t>New territories*</w:t>
            </w:r>
          </w:p>
        </w:tc>
        <w:tc>
          <w:tcPr>
            <w:tcW w:w="1545" w:type="dxa"/>
            <w:tcBorders>
              <w:bottom w:val="single" w:sz="4" w:space="0" w:color="auto"/>
            </w:tcBorders>
            <w:vAlign w:val="center"/>
          </w:tcPr>
          <w:p w14:paraId="32BA6A6C" w14:textId="3DC8ADA7"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1,054</w:t>
            </w:r>
          </w:p>
        </w:tc>
        <w:tc>
          <w:tcPr>
            <w:tcW w:w="1559" w:type="dxa"/>
            <w:tcBorders>
              <w:bottom w:val="single" w:sz="4" w:space="0" w:color="auto"/>
            </w:tcBorders>
            <w:vAlign w:val="center"/>
          </w:tcPr>
          <w:p w14:paraId="34918EC9" w14:textId="7F5B44F7"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119</w:t>
            </w:r>
          </w:p>
        </w:tc>
        <w:tc>
          <w:tcPr>
            <w:tcW w:w="236" w:type="dxa"/>
            <w:tcBorders>
              <w:bottom w:val="single" w:sz="4" w:space="0" w:color="auto"/>
            </w:tcBorders>
            <w:vAlign w:val="center"/>
          </w:tcPr>
          <w:p w14:paraId="4F1F732C" w14:textId="16A6D01F" w:rsidR="000E2760" w:rsidRPr="00024E00" w:rsidRDefault="000E2760" w:rsidP="00024E00">
            <w:pPr>
              <w:jc w:val="center"/>
              <w:rPr>
                <w:rFonts w:ascii="Arial" w:eastAsia="Helvetica Neue" w:hAnsi="Arial" w:cs="Arial"/>
                <w:color w:val="000000" w:themeColor="text1"/>
                <w:sz w:val="18"/>
                <w:szCs w:val="18"/>
              </w:rPr>
            </w:pPr>
          </w:p>
        </w:tc>
        <w:tc>
          <w:tcPr>
            <w:tcW w:w="1607" w:type="dxa"/>
            <w:tcBorders>
              <w:bottom w:val="single" w:sz="4" w:space="0" w:color="auto"/>
            </w:tcBorders>
            <w:vAlign w:val="center"/>
          </w:tcPr>
          <w:p w14:paraId="04923F62" w14:textId="292BECB3"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941</w:t>
            </w:r>
          </w:p>
        </w:tc>
        <w:tc>
          <w:tcPr>
            <w:tcW w:w="1775" w:type="dxa"/>
            <w:tcBorders>
              <w:bottom w:val="single" w:sz="4" w:space="0" w:color="auto"/>
            </w:tcBorders>
            <w:vAlign w:val="center"/>
          </w:tcPr>
          <w:p w14:paraId="79964D0B" w14:textId="4A0BC5BC"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111</w:t>
            </w:r>
          </w:p>
        </w:tc>
      </w:tr>
      <w:tr w:rsidR="000E2760" w:rsidRPr="00196665" w14:paraId="1A289D87" w14:textId="77777777" w:rsidTr="00024E00">
        <w:trPr>
          <w:trHeight w:val="353"/>
        </w:trPr>
        <w:tc>
          <w:tcPr>
            <w:tcW w:w="2703" w:type="dxa"/>
            <w:tcBorders>
              <w:top w:val="single" w:sz="4" w:space="0" w:color="auto"/>
              <w:bottom w:val="single" w:sz="4" w:space="0" w:color="auto"/>
            </w:tcBorders>
            <w:vAlign w:val="center"/>
          </w:tcPr>
          <w:p w14:paraId="7B0ECE7B" w14:textId="77777777" w:rsidR="000E2760" w:rsidRPr="00196665" w:rsidRDefault="000E2760" w:rsidP="00024E00">
            <w:pPr>
              <w:rPr>
                <w:rFonts w:ascii="Arial" w:eastAsia="Helvetica Neue" w:hAnsi="Arial" w:cs="Arial"/>
                <w:b/>
                <w:bCs/>
                <w:color w:val="000000"/>
                <w:sz w:val="18"/>
                <w:szCs w:val="18"/>
              </w:rPr>
            </w:pPr>
            <w:r>
              <w:rPr>
                <w:rFonts w:ascii="Arial" w:hAnsi="Arial"/>
                <w:b/>
                <w:bCs/>
                <w:color w:val="000000"/>
                <w:sz w:val="18"/>
                <w:szCs w:val="18"/>
              </w:rPr>
              <w:t>Total</w:t>
            </w:r>
          </w:p>
        </w:tc>
        <w:tc>
          <w:tcPr>
            <w:tcW w:w="1545" w:type="dxa"/>
            <w:tcBorders>
              <w:top w:val="single" w:sz="4" w:space="0" w:color="auto"/>
              <w:bottom w:val="single" w:sz="4" w:space="0" w:color="auto"/>
            </w:tcBorders>
            <w:vAlign w:val="center"/>
          </w:tcPr>
          <w:p w14:paraId="02143CB9" w14:textId="5881166B"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3,645</w:t>
            </w:r>
          </w:p>
        </w:tc>
        <w:tc>
          <w:tcPr>
            <w:tcW w:w="1559" w:type="dxa"/>
            <w:tcBorders>
              <w:top w:val="single" w:sz="4" w:space="0" w:color="auto"/>
              <w:bottom w:val="single" w:sz="4" w:space="0" w:color="auto"/>
            </w:tcBorders>
            <w:vAlign w:val="center"/>
          </w:tcPr>
          <w:p w14:paraId="5D6A3862" w14:textId="5945C83F"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213</w:t>
            </w:r>
          </w:p>
        </w:tc>
        <w:tc>
          <w:tcPr>
            <w:tcW w:w="236" w:type="dxa"/>
            <w:tcBorders>
              <w:top w:val="single" w:sz="4" w:space="0" w:color="auto"/>
              <w:bottom w:val="single" w:sz="4" w:space="0" w:color="auto"/>
            </w:tcBorders>
            <w:vAlign w:val="center"/>
          </w:tcPr>
          <w:p w14:paraId="4F01E3C4" w14:textId="188B0583" w:rsidR="000E2760" w:rsidRPr="00024E00" w:rsidRDefault="000E2760" w:rsidP="00024E00">
            <w:pPr>
              <w:jc w:val="center"/>
              <w:rPr>
                <w:rFonts w:ascii="Arial" w:eastAsia="Helvetica Neue" w:hAnsi="Arial" w:cs="Arial"/>
                <w:color w:val="000000" w:themeColor="text1"/>
                <w:sz w:val="18"/>
                <w:szCs w:val="18"/>
              </w:rPr>
            </w:pPr>
          </w:p>
        </w:tc>
        <w:tc>
          <w:tcPr>
            <w:tcW w:w="1607" w:type="dxa"/>
            <w:tcBorders>
              <w:top w:val="single" w:sz="4" w:space="0" w:color="auto"/>
              <w:bottom w:val="single" w:sz="4" w:space="0" w:color="auto"/>
            </w:tcBorders>
            <w:vAlign w:val="center"/>
          </w:tcPr>
          <w:p w14:paraId="168BB0B8" w14:textId="6020E984"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3,595</w:t>
            </w:r>
          </w:p>
        </w:tc>
        <w:tc>
          <w:tcPr>
            <w:tcW w:w="1775" w:type="dxa"/>
            <w:tcBorders>
              <w:top w:val="single" w:sz="4" w:space="0" w:color="auto"/>
              <w:bottom w:val="single" w:sz="4" w:space="0" w:color="auto"/>
            </w:tcBorders>
            <w:vAlign w:val="center"/>
          </w:tcPr>
          <w:p w14:paraId="08074682" w14:textId="03F380CD" w:rsidR="000E2760" w:rsidRPr="00024E00" w:rsidRDefault="00024E00" w:rsidP="00024E00">
            <w:pPr>
              <w:jc w:val="center"/>
              <w:rPr>
                <w:rFonts w:ascii="Arial" w:eastAsia="Helvetica Neue" w:hAnsi="Arial" w:cs="Arial"/>
                <w:color w:val="000000" w:themeColor="text1"/>
                <w:sz w:val="18"/>
                <w:szCs w:val="18"/>
              </w:rPr>
            </w:pPr>
            <w:r w:rsidRPr="00024E00">
              <w:rPr>
                <w:rFonts w:ascii="Arial" w:hAnsi="Arial"/>
                <w:color w:val="000000" w:themeColor="text1"/>
                <w:sz w:val="18"/>
                <w:szCs w:val="18"/>
              </w:rPr>
              <w:t>164</w:t>
            </w:r>
          </w:p>
        </w:tc>
      </w:tr>
    </w:tbl>
    <w:p w14:paraId="233015A4" w14:textId="77777777" w:rsidR="009A2FC3" w:rsidRPr="00196665" w:rsidRDefault="009A2FC3" w:rsidP="009A2FC3">
      <w:pPr>
        <w:jc w:val="both"/>
        <w:rPr>
          <w:rFonts w:ascii="Arial" w:eastAsia="Helvetica Neue" w:hAnsi="Arial" w:cs="Arial"/>
          <w:bCs/>
          <w:i/>
          <w:iCs/>
          <w:color w:val="000000"/>
          <w:sz w:val="10"/>
          <w:szCs w:val="10"/>
          <w:lang w:val="fr-FR"/>
        </w:rPr>
      </w:pPr>
    </w:p>
    <w:p w14:paraId="06BB0701" w14:textId="4A7D228B" w:rsidR="009A2FC3" w:rsidRPr="00196665" w:rsidRDefault="009A2FC3" w:rsidP="009A2FC3">
      <w:pPr>
        <w:jc w:val="both"/>
        <w:rPr>
          <w:rFonts w:ascii="Arial" w:eastAsia="Helvetica Neue" w:hAnsi="Arial" w:cs="Arial"/>
          <w:bCs/>
          <w:i/>
          <w:iCs/>
          <w:color w:val="000000"/>
          <w:sz w:val="15"/>
          <w:szCs w:val="15"/>
        </w:rPr>
      </w:pPr>
      <w:r>
        <w:rPr>
          <w:rFonts w:ascii="Arial" w:hAnsi="Arial"/>
          <w:bCs/>
          <w:i/>
          <w:iCs/>
          <w:color w:val="000000"/>
          <w:sz w:val="15"/>
          <w:szCs w:val="15"/>
        </w:rPr>
        <w:t xml:space="preserve">* Comprising the business activities of Mont-Blanc, Materne, markets in Sub-Saharan Africa, and China </w:t>
      </w:r>
    </w:p>
    <w:p w14:paraId="65E89505" w14:textId="77777777" w:rsidR="00FC17B9" w:rsidRPr="00E80D3C" w:rsidRDefault="00FC17B9" w:rsidP="009A2FC3">
      <w:pPr>
        <w:jc w:val="both"/>
        <w:rPr>
          <w:rFonts w:ascii="Arial" w:eastAsia="Helvetica Neue" w:hAnsi="Arial" w:cs="Arial"/>
          <w:color w:val="000000"/>
          <w:sz w:val="20"/>
          <w:szCs w:val="20"/>
          <w:lang w:val="en-GB"/>
        </w:rPr>
      </w:pPr>
    </w:p>
    <w:p w14:paraId="22E22B49" w14:textId="292BB521" w:rsidR="007956D1" w:rsidRDefault="00FC17B9" w:rsidP="009A2FC3">
      <w:pPr>
        <w:jc w:val="both"/>
        <w:rPr>
          <w:rFonts w:ascii="Arial" w:eastAsia="Helvetica Neue" w:hAnsi="Arial" w:cs="Arial"/>
          <w:color w:val="000000"/>
          <w:sz w:val="20"/>
          <w:szCs w:val="20"/>
        </w:rPr>
      </w:pPr>
      <w:r>
        <w:rPr>
          <w:rFonts w:ascii="Arial" w:hAnsi="Arial"/>
          <w:color w:val="000000"/>
          <w:sz w:val="20"/>
          <w:szCs w:val="20"/>
        </w:rPr>
        <w:t xml:space="preserve">After being strongly impacted in 2022 by the time lag between the additional costs generated by inflationary pressure on expenditure items and the implementation of price increases to offset those costs, Bel maintained its profitability in 2023 by speeding up the productivity improvement program initiated several years ago, implementing necessary and justified price increases, and making strategic </w:t>
      </w:r>
      <w:r w:rsidR="00A617CA">
        <w:rPr>
          <w:rFonts w:ascii="Arial" w:hAnsi="Arial"/>
          <w:color w:val="000000"/>
          <w:sz w:val="20"/>
          <w:szCs w:val="20"/>
        </w:rPr>
        <w:t xml:space="preserve">marketing </w:t>
      </w:r>
      <w:r>
        <w:rPr>
          <w:rFonts w:ascii="Arial" w:hAnsi="Arial"/>
          <w:color w:val="000000"/>
          <w:sz w:val="20"/>
          <w:szCs w:val="20"/>
        </w:rPr>
        <w:t>choices.</w:t>
      </w:r>
    </w:p>
    <w:p w14:paraId="09F992C6" w14:textId="77777777" w:rsidR="00FC17B9" w:rsidRPr="00E80D3C" w:rsidRDefault="00FC17B9" w:rsidP="009A2FC3">
      <w:pPr>
        <w:jc w:val="both"/>
        <w:rPr>
          <w:rFonts w:ascii="Arial" w:eastAsia="Helvetica Neue" w:hAnsi="Arial" w:cs="Arial"/>
          <w:color w:val="000000"/>
          <w:sz w:val="20"/>
          <w:szCs w:val="20"/>
          <w:lang w:val="en-GB"/>
        </w:rPr>
      </w:pPr>
    </w:p>
    <w:p w14:paraId="6BF1EAB5" w14:textId="1BCEF40B" w:rsidR="009A2FC3" w:rsidRDefault="009A2FC3" w:rsidP="009A2FC3">
      <w:pPr>
        <w:jc w:val="both"/>
        <w:rPr>
          <w:rFonts w:ascii="Arial" w:eastAsia="Helvetica Neue" w:hAnsi="Arial" w:cs="Arial"/>
          <w:color w:val="000000"/>
          <w:sz w:val="20"/>
          <w:szCs w:val="20"/>
        </w:rPr>
      </w:pPr>
      <w:r>
        <w:rPr>
          <w:rFonts w:ascii="Arial" w:hAnsi="Arial"/>
          <w:color w:val="000000"/>
          <w:sz w:val="20"/>
          <w:szCs w:val="20"/>
        </w:rPr>
        <w:t>Recurring operating income came to €</w:t>
      </w:r>
      <w:r w:rsidR="00024E00">
        <w:rPr>
          <w:rFonts w:ascii="Arial" w:hAnsi="Arial"/>
          <w:color w:val="000000"/>
          <w:sz w:val="20"/>
          <w:szCs w:val="20"/>
        </w:rPr>
        <w:t>251</w:t>
      </w:r>
      <w:r>
        <w:rPr>
          <w:rFonts w:ascii="Arial" w:hAnsi="Arial"/>
          <w:color w:val="000000"/>
          <w:sz w:val="20"/>
          <w:szCs w:val="20"/>
        </w:rPr>
        <w:t> million, up</w:t>
      </w:r>
      <w:r w:rsidR="00024E00">
        <w:rPr>
          <w:rFonts w:ascii="Arial" w:hAnsi="Arial"/>
          <w:color w:val="000000"/>
          <w:sz w:val="20"/>
          <w:szCs w:val="20"/>
        </w:rPr>
        <w:t xml:space="preserve"> 25.</w:t>
      </w:r>
      <w:r w:rsidR="00160E9E">
        <w:rPr>
          <w:rFonts w:ascii="Arial" w:hAnsi="Arial"/>
          <w:color w:val="000000"/>
          <w:sz w:val="20"/>
          <w:szCs w:val="20"/>
        </w:rPr>
        <w:t>2</w:t>
      </w:r>
      <w:r>
        <w:rPr>
          <w:rFonts w:ascii="Arial" w:hAnsi="Arial"/>
          <w:color w:val="000000"/>
          <w:sz w:val="20"/>
          <w:szCs w:val="20"/>
        </w:rPr>
        <w:t>% from the previous year when adjusted for the impact of the sale of the Safilait business in Morocco, partially offset by the acquisition of a majority stake in China’s Shandong Junjun Cheese. Recurring operating margin widened to</w:t>
      </w:r>
      <w:r w:rsidR="00024E00">
        <w:rPr>
          <w:rFonts w:ascii="Arial" w:hAnsi="Arial"/>
          <w:color w:val="000000"/>
          <w:sz w:val="20"/>
          <w:szCs w:val="20"/>
        </w:rPr>
        <w:t xml:space="preserve"> 6.9</w:t>
      </w:r>
      <w:r>
        <w:rPr>
          <w:rFonts w:ascii="Arial" w:hAnsi="Arial"/>
          <w:color w:val="000000"/>
          <w:sz w:val="20"/>
          <w:szCs w:val="20"/>
        </w:rPr>
        <w:t xml:space="preserve">%. This improvement in profitability must be viewed through the prism of a particularly downgraded situation in 2022. </w:t>
      </w:r>
    </w:p>
    <w:p w14:paraId="73A94195" w14:textId="77777777" w:rsidR="00E232B5" w:rsidRPr="00E80D3C" w:rsidRDefault="00E232B5" w:rsidP="009A2FC3">
      <w:pPr>
        <w:jc w:val="both"/>
        <w:rPr>
          <w:rFonts w:ascii="Arial" w:eastAsia="Helvetica Neue" w:hAnsi="Arial" w:cs="Arial"/>
          <w:color w:val="000000"/>
          <w:sz w:val="20"/>
          <w:szCs w:val="20"/>
          <w:lang w:val="en-GB"/>
        </w:rPr>
      </w:pPr>
    </w:p>
    <w:p w14:paraId="4BCA16EA" w14:textId="46990C46" w:rsidR="0091286C" w:rsidRDefault="0091286C" w:rsidP="009A2FC3">
      <w:pPr>
        <w:jc w:val="both"/>
        <w:rPr>
          <w:rFonts w:ascii="Arial" w:hAnsi="Arial"/>
          <w:color w:val="000000"/>
          <w:sz w:val="20"/>
          <w:szCs w:val="20"/>
        </w:rPr>
      </w:pPr>
      <w:r>
        <w:rPr>
          <w:rFonts w:ascii="Arial" w:hAnsi="Arial"/>
          <w:color w:val="000000"/>
          <w:sz w:val="20"/>
          <w:szCs w:val="20"/>
        </w:rPr>
        <w:t xml:space="preserve">Net financial expense came to </w:t>
      </w:r>
      <w:r w:rsidR="00024E00">
        <w:rPr>
          <w:rFonts w:ascii="Arial" w:hAnsi="Arial"/>
          <w:color w:val="000000"/>
          <w:sz w:val="20"/>
          <w:szCs w:val="20"/>
        </w:rPr>
        <w:t xml:space="preserve">a loss of </w:t>
      </w:r>
      <w:r>
        <w:rPr>
          <w:rFonts w:ascii="Arial" w:hAnsi="Arial"/>
          <w:color w:val="000000"/>
          <w:sz w:val="20"/>
          <w:szCs w:val="20"/>
        </w:rPr>
        <w:t>€</w:t>
      </w:r>
      <w:r w:rsidR="00024E00">
        <w:rPr>
          <w:rFonts w:ascii="Arial" w:hAnsi="Arial"/>
          <w:color w:val="000000"/>
          <w:sz w:val="20"/>
          <w:szCs w:val="20"/>
        </w:rPr>
        <w:t>48</w:t>
      </w:r>
      <w:r>
        <w:rPr>
          <w:rFonts w:ascii="Arial" w:hAnsi="Arial"/>
          <w:color w:val="000000"/>
          <w:sz w:val="20"/>
          <w:szCs w:val="20"/>
        </w:rPr>
        <w:t> million at end</w:t>
      </w:r>
      <w:r w:rsidR="00024E00">
        <w:rPr>
          <w:rFonts w:ascii="Arial" w:hAnsi="Arial"/>
          <w:color w:val="000000"/>
          <w:sz w:val="20"/>
          <w:szCs w:val="20"/>
        </w:rPr>
        <w:t xml:space="preserve"> </w:t>
      </w:r>
      <w:r w:rsidR="00E61451">
        <w:rPr>
          <w:rFonts w:ascii="Arial" w:hAnsi="Arial"/>
          <w:color w:val="000000"/>
          <w:sz w:val="20"/>
          <w:szCs w:val="20"/>
        </w:rPr>
        <w:t xml:space="preserve">of </w:t>
      </w:r>
      <w:r>
        <w:rPr>
          <w:rFonts w:ascii="Arial" w:hAnsi="Arial"/>
          <w:color w:val="000000"/>
          <w:sz w:val="20"/>
          <w:szCs w:val="20"/>
        </w:rPr>
        <w:t xml:space="preserve">2023, </w:t>
      </w:r>
      <w:r w:rsidR="00160E9E">
        <w:rPr>
          <w:rFonts w:ascii="Arial" w:hAnsi="Arial"/>
          <w:color w:val="000000"/>
          <w:sz w:val="20"/>
          <w:szCs w:val="20"/>
        </w:rPr>
        <w:t xml:space="preserve">up </w:t>
      </w:r>
      <w:r>
        <w:rPr>
          <w:rFonts w:ascii="Arial" w:hAnsi="Arial"/>
          <w:color w:val="000000"/>
          <w:sz w:val="20"/>
          <w:szCs w:val="20"/>
        </w:rPr>
        <w:t>€</w:t>
      </w:r>
      <w:r w:rsidR="00024E00">
        <w:rPr>
          <w:rFonts w:ascii="Arial" w:hAnsi="Arial"/>
          <w:color w:val="000000"/>
          <w:sz w:val="20"/>
          <w:szCs w:val="20"/>
        </w:rPr>
        <w:t>24</w:t>
      </w:r>
      <w:r>
        <w:rPr>
          <w:rFonts w:ascii="Arial" w:hAnsi="Arial"/>
          <w:color w:val="000000"/>
          <w:sz w:val="20"/>
          <w:szCs w:val="20"/>
        </w:rPr>
        <w:t xml:space="preserve"> million, due </w:t>
      </w:r>
      <w:r w:rsidR="00160E9E">
        <w:rPr>
          <w:rFonts w:ascii="Arial" w:hAnsi="Arial"/>
          <w:color w:val="000000"/>
          <w:sz w:val="20"/>
          <w:szCs w:val="20"/>
        </w:rPr>
        <w:t xml:space="preserve">to </w:t>
      </w:r>
      <w:r w:rsidR="00160E9E" w:rsidRPr="00160E9E">
        <w:rPr>
          <w:rFonts w:ascii="Arial" w:hAnsi="Arial"/>
          <w:color w:val="000000"/>
          <w:sz w:val="20"/>
          <w:szCs w:val="20"/>
        </w:rPr>
        <w:t xml:space="preserve">the increase in average debt </w:t>
      </w:r>
      <w:r w:rsidR="00160E9E">
        <w:rPr>
          <w:rFonts w:ascii="Arial" w:hAnsi="Arial"/>
          <w:color w:val="000000"/>
          <w:sz w:val="20"/>
          <w:szCs w:val="20"/>
        </w:rPr>
        <w:t xml:space="preserve">and </w:t>
      </w:r>
      <w:r>
        <w:rPr>
          <w:rFonts w:ascii="Arial" w:hAnsi="Arial"/>
          <w:color w:val="000000"/>
          <w:sz w:val="20"/>
          <w:szCs w:val="20"/>
        </w:rPr>
        <w:t>higher interest rates.</w:t>
      </w:r>
    </w:p>
    <w:p w14:paraId="06790960" w14:textId="77777777" w:rsidR="006038FA" w:rsidRDefault="006038FA" w:rsidP="009A2FC3">
      <w:pPr>
        <w:jc w:val="both"/>
        <w:rPr>
          <w:rFonts w:ascii="Arial" w:eastAsia="Helvetica Neue" w:hAnsi="Arial" w:cs="Arial"/>
          <w:color w:val="000000"/>
          <w:sz w:val="20"/>
          <w:szCs w:val="20"/>
        </w:rPr>
      </w:pPr>
    </w:p>
    <w:p w14:paraId="5C84D799" w14:textId="1BC37FF6" w:rsidR="009A2FC3" w:rsidRDefault="00160E9E" w:rsidP="009A2FC3">
      <w:pPr>
        <w:jc w:val="both"/>
        <w:rPr>
          <w:rFonts w:ascii="Arial" w:hAnsi="Arial"/>
          <w:color w:val="000000"/>
          <w:sz w:val="20"/>
          <w:szCs w:val="20"/>
        </w:rPr>
      </w:pPr>
      <w:r>
        <w:rPr>
          <w:rFonts w:ascii="Arial" w:hAnsi="Arial"/>
          <w:color w:val="000000"/>
          <w:sz w:val="20"/>
          <w:szCs w:val="20"/>
        </w:rPr>
        <w:t xml:space="preserve">The </w:t>
      </w:r>
      <w:r w:rsidRPr="00160E9E">
        <w:rPr>
          <w:rFonts w:ascii="Arial" w:hAnsi="Arial"/>
          <w:color w:val="000000"/>
          <w:sz w:val="20"/>
          <w:szCs w:val="20"/>
        </w:rPr>
        <w:t>Group</w:t>
      </w:r>
      <w:r>
        <w:rPr>
          <w:rFonts w:ascii="Arial" w:hAnsi="Arial"/>
          <w:color w:val="000000"/>
          <w:sz w:val="20"/>
          <w:szCs w:val="20"/>
        </w:rPr>
        <w:t>’s</w:t>
      </w:r>
      <w:r w:rsidRPr="00160E9E">
        <w:rPr>
          <w:rFonts w:ascii="Arial" w:hAnsi="Arial"/>
          <w:color w:val="000000"/>
          <w:sz w:val="20"/>
          <w:szCs w:val="20"/>
        </w:rPr>
        <w:t xml:space="preserve"> tax expense</w:t>
      </w:r>
      <w:r>
        <w:rPr>
          <w:rFonts w:ascii="Arial" w:hAnsi="Arial"/>
          <w:color w:val="000000"/>
          <w:sz w:val="20"/>
          <w:szCs w:val="20"/>
        </w:rPr>
        <w:t xml:space="preserve"> amount to </w:t>
      </w:r>
      <w:r w:rsidR="009A2FC3">
        <w:rPr>
          <w:rFonts w:ascii="Arial" w:hAnsi="Arial"/>
          <w:color w:val="000000"/>
          <w:sz w:val="20"/>
          <w:szCs w:val="20"/>
        </w:rPr>
        <w:t>€</w:t>
      </w:r>
      <w:r w:rsidR="003D627F">
        <w:rPr>
          <w:rFonts w:ascii="Arial" w:hAnsi="Arial"/>
          <w:color w:val="000000"/>
          <w:sz w:val="20"/>
          <w:szCs w:val="20"/>
        </w:rPr>
        <w:t>9</w:t>
      </w:r>
      <w:r>
        <w:rPr>
          <w:rFonts w:ascii="Arial" w:hAnsi="Arial"/>
          <w:color w:val="000000"/>
          <w:sz w:val="20"/>
          <w:szCs w:val="20"/>
        </w:rPr>
        <w:t>4</w:t>
      </w:r>
      <w:r w:rsidR="00B23143">
        <w:rPr>
          <w:rFonts w:ascii="Arial" w:hAnsi="Arial"/>
          <w:color w:val="000000"/>
          <w:sz w:val="20"/>
          <w:szCs w:val="20"/>
        </w:rPr>
        <w:t xml:space="preserve"> million</w:t>
      </w:r>
      <w:r>
        <w:rPr>
          <w:rFonts w:ascii="Arial" w:hAnsi="Arial"/>
          <w:color w:val="000000"/>
          <w:sz w:val="20"/>
          <w:szCs w:val="20"/>
        </w:rPr>
        <w:t xml:space="preserve">, up </w:t>
      </w:r>
      <w:r w:rsidR="009A2FC3">
        <w:rPr>
          <w:rFonts w:ascii="Arial" w:hAnsi="Arial"/>
          <w:color w:val="000000"/>
          <w:sz w:val="20"/>
          <w:szCs w:val="20"/>
        </w:rPr>
        <w:t>€</w:t>
      </w:r>
      <w:r w:rsidR="003D627F">
        <w:rPr>
          <w:rFonts w:ascii="Arial" w:hAnsi="Arial"/>
          <w:color w:val="000000"/>
          <w:sz w:val="20"/>
          <w:szCs w:val="20"/>
        </w:rPr>
        <w:t>46</w:t>
      </w:r>
      <w:r w:rsidR="009A2FC3">
        <w:rPr>
          <w:rFonts w:ascii="Arial" w:hAnsi="Arial"/>
          <w:color w:val="000000"/>
          <w:sz w:val="20"/>
          <w:szCs w:val="20"/>
        </w:rPr>
        <w:t> million</w:t>
      </w:r>
      <w:r>
        <w:rPr>
          <w:rFonts w:ascii="Arial" w:hAnsi="Arial"/>
          <w:color w:val="000000"/>
          <w:sz w:val="20"/>
          <w:szCs w:val="20"/>
        </w:rPr>
        <w:t xml:space="preserve">, comprising an impact of €33 million </w:t>
      </w:r>
      <w:r w:rsidR="009A2FC3">
        <w:rPr>
          <w:rFonts w:ascii="Arial" w:hAnsi="Arial"/>
          <w:color w:val="000000"/>
          <w:sz w:val="20"/>
          <w:szCs w:val="20"/>
        </w:rPr>
        <w:t xml:space="preserve">directly attributable to Unibel becoming the lead company for the tax-consolidated group in France on January 1, 2023, consequence of the share buyback and subsequent delisting in late January 2022. </w:t>
      </w:r>
    </w:p>
    <w:p w14:paraId="1315503D" w14:textId="77777777" w:rsidR="00160E9E" w:rsidRDefault="00160E9E" w:rsidP="009A2FC3">
      <w:pPr>
        <w:jc w:val="both"/>
        <w:rPr>
          <w:rFonts w:ascii="Arial" w:hAnsi="Arial"/>
          <w:color w:val="000000"/>
          <w:sz w:val="20"/>
          <w:szCs w:val="20"/>
        </w:rPr>
      </w:pPr>
    </w:p>
    <w:p w14:paraId="1BBB1C7F" w14:textId="3FEF6CB5" w:rsidR="00160E9E" w:rsidRDefault="00160E9E" w:rsidP="009A2FC3">
      <w:pPr>
        <w:jc w:val="both"/>
        <w:rPr>
          <w:rFonts w:ascii="Arial" w:eastAsia="Helvetica Neue" w:hAnsi="Arial" w:cs="Arial"/>
          <w:color w:val="000000"/>
          <w:sz w:val="20"/>
          <w:szCs w:val="20"/>
        </w:rPr>
      </w:pPr>
      <w:r>
        <w:rPr>
          <w:rFonts w:ascii="Arial" w:hAnsi="Arial"/>
          <w:color w:val="000000"/>
          <w:sz w:val="20"/>
          <w:szCs w:val="20"/>
        </w:rPr>
        <w:t xml:space="preserve">Consolidated net profit, Group share came to €69 million, down €27 million compared to </w:t>
      </w:r>
      <w:r w:rsidR="00B23143">
        <w:rPr>
          <w:rFonts w:ascii="Arial" w:hAnsi="Arial"/>
          <w:color w:val="000000"/>
          <w:sz w:val="20"/>
          <w:szCs w:val="20"/>
        </w:rPr>
        <w:t xml:space="preserve">€96 million in </w:t>
      </w:r>
      <w:r>
        <w:rPr>
          <w:rFonts w:ascii="Arial" w:hAnsi="Arial"/>
          <w:color w:val="000000"/>
          <w:sz w:val="20"/>
          <w:szCs w:val="20"/>
        </w:rPr>
        <w:t>2022.</w:t>
      </w:r>
    </w:p>
    <w:p w14:paraId="6F4FE232" w14:textId="77777777" w:rsidR="009A2FC3" w:rsidRDefault="009A2FC3" w:rsidP="009A2FC3">
      <w:pPr>
        <w:jc w:val="both"/>
        <w:rPr>
          <w:rFonts w:ascii="Arial" w:eastAsia="Helvetica Neue" w:hAnsi="Arial" w:cs="Arial"/>
          <w:color w:val="000000"/>
          <w:sz w:val="20"/>
          <w:szCs w:val="20"/>
        </w:rPr>
      </w:pPr>
    </w:p>
    <w:p w14:paraId="4B0D30E7" w14:textId="7E676F89" w:rsidR="00B54084" w:rsidRDefault="00B54084" w:rsidP="009A2FC3">
      <w:pPr>
        <w:jc w:val="both"/>
        <w:rPr>
          <w:rFonts w:ascii="Arial" w:eastAsia="Helvetica Neue" w:hAnsi="Arial" w:cs="Arial"/>
          <w:color w:val="000000"/>
          <w:sz w:val="20"/>
          <w:szCs w:val="20"/>
        </w:rPr>
      </w:pPr>
      <w:r w:rsidRPr="00B54084">
        <w:rPr>
          <w:rFonts w:ascii="Arial" w:eastAsia="Helvetica Neue" w:hAnsi="Arial" w:cs="Arial"/>
          <w:color w:val="000000"/>
          <w:sz w:val="20"/>
          <w:szCs w:val="20"/>
        </w:rPr>
        <w:t xml:space="preserve">Finally, in 2023, the Group generated a free cash flow of </w:t>
      </w:r>
      <w:r>
        <w:rPr>
          <w:rFonts w:ascii="Arial" w:eastAsia="Helvetica Neue" w:hAnsi="Arial" w:cs="Arial"/>
          <w:color w:val="000000"/>
          <w:sz w:val="20"/>
          <w:szCs w:val="20"/>
        </w:rPr>
        <w:t>€</w:t>
      </w:r>
      <w:r w:rsidRPr="00B54084">
        <w:rPr>
          <w:rFonts w:ascii="Arial" w:eastAsia="Helvetica Neue" w:hAnsi="Arial" w:cs="Arial"/>
          <w:color w:val="000000"/>
          <w:sz w:val="20"/>
          <w:szCs w:val="20"/>
        </w:rPr>
        <w:t>55 million, despite an unfavorable seasonality of our working capital requirements, significantly increased financial expenses, and a change in tax consolidation in favor of Unibel. As a reminder, in 2022, the Group implemented a securitization program for its trade receivables, resulting in a positive impact on its free cash flow of 132 million euros.</w:t>
      </w:r>
    </w:p>
    <w:p w14:paraId="10C2F6FA" w14:textId="77777777" w:rsidR="009A2FC3" w:rsidRPr="00E80D3C" w:rsidRDefault="009A2FC3" w:rsidP="009A2FC3">
      <w:pPr>
        <w:jc w:val="both"/>
        <w:rPr>
          <w:rFonts w:ascii="Arial" w:eastAsia="Helvetica Neue" w:hAnsi="Arial" w:cs="Arial"/>
          <w:b/>
          <w:bCs/>
          <w:color w:val="000000"/>
          <w:sz w:val="20"/>
          <w:szCs w:val="20"/>
          <w:highlight w:val="yellow"/>
          <w:u w:val="single"/>
          <w:lang w:val="en-GB"/>
        </w:rPr>
      </w:pPr>
    </w:p>
    <w:p w14:paraId="228980CE" w14:textId="678878AD" w:rsidR="009A2FC3" w:rsidRPr="00B51F63" w:rsidRDefault="009A2FC3" w:rsidP="009A2FC3">
      <w:pPr>
        <w:jc w:val="both"/>
        <w:rPr>
          <w:rFonts w:ascii="Arial" w:eastAsia="Helvetica Neue" w:hAnsi="Arial" w:cs="Arial"/>
          <w:b/>
          <w:bCs/>
          <w:color w:val="000000"/>
          <w:sz w:val="20"/>
          <w:szCs w:val="20"/>
          <w:u w:val="single"/>
        </w:rPr>
      </w:pPr>
      <w:r>
        <w:rPr>
          <w:rFonts w:ascii="Arial" w:hAnsi="Arial"/>
          <w:b/>
          <w:color w:val="000000"/>
          <w:sz w:val="20"/>
          <w:szCs w:val="20"/>
          <w:u w:val="single"/>
        </w:rPr>
        <w:t>Robust financial structure</w:t>
      </w:r>
    </w:p>
    <w:p w14:paraId="101F2A38" w14:textId="77777777" w:rsidR="009A2FC3" w:rsidRPr="00E80D3C" w:rsidRDefault="009A2FC3" w:rsidP="009A2FC3">
      <w:pPr>
        <w:jc w:val="both"/>
        <w:rPr>
          <w:rFonts w:ascii="Arial" w:eastAsia="Helvetica Neue" w:hAnsi="Arial" w:cs="Arial"/>
          <w:color w:val="000000"/>
          <w:sz w:val="20"/>
          <w:szCs w:val="20"/>
          <w:lang w:val="en-GB"/>
        </w:rPr>
      </w:pPr>
    </w:p>
    <w:p w14:paraId="775B2D14" w14:textId="702237AD" w:rsidR="00FD06E3" w:rsidRPr="00EE4864" w:rsidRDefault="00530513" w:rsidP="00FD06E3">
      <w:pPr>
        <w:jc w:val="both"/>
        <w:rPr>
          <w:rFonts w:ascii="Arial" w:eastAsia="Helvetica Neue" w:hAnsi="Arial" w:cs="Arial"/>
          <w:color w:val="000000"/>
          <w:sz w:val="20"/>
          <w:szCs w:val="20"/>
        </w:rPr>
      </w:pPr>
      <w:r>
        <w:rPr>
          <w:rFonts w:ascii="Arial" w:hAnsi="Arial"/>
          <w:sz w:val="20"/>
          <w:szCs w:val="20"/>
        </w:rPr>
        <w:t>At December 31, 2023, Bel’s balance sheet reflected a robust financial structure. Net debt totaled €</w:t>
      </w:r>
      <w:r w:rsidR="003D627F">
        <w:rPr>
          <w:rFonts w:ascii="Arial" w:hAnsi="Arial"/>
          <w:sz w:val="20"/>
          <w:szCs w:val="20"/>
        </w:rPr>
        <w:t>839</w:t>
      </w:r>
      <w:r>
        <w:rPr>
          <w:rFonts w:ascii="Arial" w:hAnsi="Arial"/>
          <w:sz w:val="20"/>
          <w:szCs w:val="20"/>
        </w:rPr>
        <w:t> million, versus €</w:t>
      </w:r>
      <w:r w:rsidR="003D627F">
        <w:rPr>
          <w:rFonts w:ascii="Arial" w:hAnsi="Arial"/>
          <w:sz w:val="20"/>
          <w:szCs w:val="20"/>
        </w:rPr>
        <w:t>778</w:t>
      </w:r>
      <w:r>
        <w:rPr>
          <w:rFonts w:ascii="Arial" w:hAnsi="Arial"/>
          <w:sz w:val="20"/>
          <w:szCs w:val="20"/>
        </w:rPr>
        <w:t> million a year earlier, and total equity came to €</w:t>
      </w:r>
      <w:r w:rsidR="003D627F">
        <w:rPr>
          <w:rFonts w:ascii="Arial" w:hAnsi="Arial"/>
          <w:sz w:val="20"/>
          <w:szCs w:val="20"/>
        </w:rPr>
        <w:t xml:space="preserve"> 1,538</w:t>
      </w:r>
      <w:r>
        <w:rPr>
          <w:rFonts w:ascii="Arial" w:hAnsi="Arial"/>
          <w:sz w:val="20"/>
          <w:szCs w:val="20"/>
        </w:rPr>
        <w:t> million, versus €</w:t>
      </w:r>
      <w:r w:rsidR="003D627F">
        <w:rPr>
          <w:rFonts w:ascii="Arial" w:hAnsi="Arial"/>
          <w:sz w:val="20"/>
          <w:szCs w:val="20"/>
        </w:rPr>
        <w:t>1,592</w:t>
      </w:r>
      <w:r>
        <w:rPr>
          <w:rFonts w:ascii="Arial" w:hAnsi="Arial"/>
          <w:sz w:val="20"/>
          <w:szCs w:val="20"/>
        </w:rPr>
        <w:t> million on December 31, 2022.</w:t>
      </w:r>
    </w:p>
    <w:p w14:paraId="7FDD5D43" w14:textId="77777777" w:rsidR="00FD06E3" w:rsidRPr="00E61451" w:rsidRDefault="00FD06E3" w:rsidP="00FD06E3">
      <w:pPr>
        <w:jc w:val="both"/>
        <w:rPr>
          <w:rFonts w:ascii="Arial" w:hAnsi="Arial" w:cs="Arial"/>
          <w:sz w:val="20"/>
          <w:szCs w:val="20"/>
        </w:rPr>
      </w:pPr>
    </w:p>
    <w:p w14:paraId="6A4FBD10" w14:textId="6A43AB55" w:rsidR="00FD06E3" w:rsidRDefault="00EE4864" w:rsidP="00FD06E3">
      <w:pPr>
        <w:jc w:val="both"/>
        <w:rPr>
          <w:rFonts w:ascii="Arial" w:hAnsi="Arial" w:cs="Arial"/>
          <w:sz w:val="20"/>
          <w:szCs w:val="20"/>
        </w:rPr>
      </w:pPr>
      <w:r>
        <w:rPr>
          <w:rFonts w:ascii="Arial" w:hAnsi="Arial"/>
          <w:sz w:val="20"/>
          <w:szCs w:val="20"/>
        </w:rPr>
        <w:t>Bel continues to have a high level of liquidity, with €</w:t>
      </w:r>
      <w:r w:rsidR="003D627F">
        <w:rPr>
          <w:rFonts w:ascii="Arial" w:hAnsi="Arial"/>
          <w:sz w:val="20"/>
          <w:szCs w:val="20"/>
        </w:rPr>
        <w:t>633</w:t>
      </w:r>
      <w:r>
        <w:rPr>
          <w:rFonts w:ascii="Arial" w:hAnsi="Arial"/>
          <w:sz w:val="20"/>
          <w:szCs w:val="20"/>
        </w:rPr>
        <w:t> million in cash and cash equivalents at end</w:t>
      </w:r>
      <w:r w:rsidR="00E61451">
        <w:rPr>
          <w:rFonts w:ascii="Arial" w:hAnsi="Arial"/>
          <w:sz w:val="20"/>
          <w:szCs w:val="20"/>
        </w:rPr>
        <w:t xml:space="preserve"> of </w:t>
      </w:r>
      <w:r>
        <w:rPr>
          <w:rFonts w:ascii="Arial" w:hAnsi="Arial"/>
          <w:sz w:val="20"/>
          <w:szCs w:val="20"/>
        </w:rPr>
        <w:t>2023 and €</w:t>
      </w:r>
      <w:r w:rsidR="003D627F">
        <w:rPr>
          <w:rFonts w:ascii="Arial" w:hAnsi="Arial"/>
          <w:sz w:val="20"/>
          <w:szCs w:val="20"/>
        </w:rPr>
        <w:t>550</w:t>
      </w:r>
      <w:r>
        <w:rPr>
          <w:rFonts w:ascii="Arial" w:hAnsi="Arial"/>
          <w:sz w:val="20"/>
          <w:szCs w:val="20"/>
        </w:rPr>
        <w:t> million in undrawn credit facilities with maturities extending to 2029.</w:t>
      </w:r>
    </w:p>
    <w:p w14:paraId="48E5F223" w14:textId="77777777" w:rsidR="002D64C2" w:rsidRPr="00E80D3C" w:rsidRDefault="002D64C2" w:rsidP="00FD06E3">
      <w:pPr>
        <w:jc w:val="both"/>
        <w:rPr>
          <w:rFonts w:ascii="Arial" w:hAnsi="Arial" w:cs="Arial"/>
          <w:sz w:val="20"/>
          <w:szCs w:val="20"/>
          <w:lang w:val="en-GB"/>
        </w:rPr>
      </w:pPr>
    </w:p>
    <w:p w14:paraId="2C1B4E8C" w14:textId="3698576D" w:rsidR="002D64C2" w:rsidRPr="00FD06E3" w:rsidRDefault="006A2991" w:rsidP="002D64C2">
      <w:pPr>
        <w:jc w:val="both"/>
        <w:rPr>
          <w:rFonts w:ascii="Arial" w:hAnsi="Arial" w:cs="Arial"/>
          <w:sz w:val="20"/>
          <w:szCs w:val="20"/>
        </w:rPr>
      </w:pPr>
      <w:r>
        <w:rPr>
          <w:rFonts w:ascii="Arial" w:hAnsi="Arial"/>
          <w:sz w:val="20"/>
          <w:szCs w:val="20"/>
        </w:rPr>
        <w:t>In addition, on December 12, 2023, Bel successfully completed a sustainability-linked private bond placement for</w:t>
      </w:r>
      <w:r w:rsidR="003D627F">
        <w:rPr>
          <w:rFonts w:ascii="Arial" w:hAnsi="Arial"/>
          <w:sz w:val="20"/>
          <w:szCs w:val="20"/>
        </w:rPr>
        <w:t xml:space="preserve"> €135</w:t>
      </w:r>
      <w:r>
        <w:rPr>
          <w:rFonts w:ascii="Arial" w:hAnsi="Arial"/>
          <w:sz w:val="20"/>
          <w:szCs w:val="20"/>
        </w:rPr>
        <w:t> million on the Euro PP market, with a coupon of</w:t>
      </w:r>
      <w:r w:rsidR="003D627F">
        <w:rPr>
          <w:rFonts w:ascii="Arial" w:hAnsi="Arial"/>
          <w:sz w:val="20"/>
          <w:szCs w:val="20"/>
        </w:rPr>
        <w:t xml:space="preserve"> 5.50</w:t>
      </w:r>
      <w:r>
        <w:rPr>
          <w:rFonts w:ascii="Arial" w:hAnsi="Arial"/>
          <w:sz w:val="20"/>
          <w:szCs w:val="20"/>
        </w:rPr>
        <w:t xml:space="preserve">%, maturing in December 2030. The placement provides funds to cover Bel’s general needs and extends the average maturity of its funding facilities. The success of the placement, carried out with leading institutional investors, demonstrates the </w:t>
      </w:r>
      <w:r w:rsidR="00B54084">
        <w:rPr>
          <w:rFonts w:ascii="Arial" w:hAnsi="Arial"/>
          <w:sz w:val="20"/>
          <w:szCs w:val="20"/>
        </w:rPr>
        <w:t xml:space="preserve">renewed </w:t>
      </w:r>
      <w:r>
        <w:rPr>
          <w:rFonts w:ascii="Arial" w:hAnsi="Arial"/>
          <w:sz w:val="20"/>
          <w:szCs w:val="20"/>
        </w:rPr>
        <w:t xml:space="preserve">confidence </w:t>
      </w:r>
      <w:r w:rsidR="00B54084">
        <w:rPr>
          <w:rFonts w:ascii="Arial" w:hAnsi="Arial"/>
          <w:sz w:val="20"/>
          <w:szCs w:val="20"/>
        </w:rPr>
        <w:t xml:space="preserve">of investors </w:t>
      </w:r>
      <w:r>
        <w:rPr>
          <w:rFonts w:ascii="Arial" w:hAnsi="Arial"/>
          <w:sz w:val="20"/>
          <w:szCs w:val="20"/>
        </w:rPr>
        <w:t>in Bel’s credit quality.</w:t>
      </w:r>
    </w:p>
    <w:p w14:paraId="0DFA1C5D" w14:textId="77777777" w:rsidR="00B54084" w:rsidRPr="00E80D3C" w:rsidRDefault="00B54084" w:rsidP="00392831">
      <w:pPr>
        <w:rPr>
          <w:rFonts w:ascii="Arial" w:eastAsia="Helvetica Neue" w:hAnsi="Arial" w:cs="Arial"/>
          <w:b/>
          <w:bCs/>
          <w:iCs/>
          <w:color w:val="000000"/>
          <w:sz w:val="20"/>
          <w:szCs w:val="20"/>
          <w:u w:val="single"/>
          <w:lang w:val="en-GB"/>
        </w:rPr>
      </w:pPr>
    </w:p>
    <w:p w14:paraId="6DD400F8" w14:textId="77777777" w:rsidR="00270459" w:rsidRDefault="00270459">
      <w:pPr>
        <w:rPr>
          <w:rFonts w:ascii="Arial" w:hAnsi="Arial"/>
          <w:b/>
          <w:bCs/>
          <w:iCs/>
          <w:color w:val="000000"/>
          <w:sz w:val="20"/>
          <w:szCs w:val="20"/>
          <w:u w:val="single"/>
        </w:rPr>
      </w:pPr>
      <w:r>
        <w:rPr>
          <w:rFonts w:ascii="Arial" w:hAnsi="Arial"/>
          <w:b/>
          <w:bCs/>
          <w:iCs/>
          <w:color w:val="000000"/>
          <w:sz w:val="20"/>
          <w:szCs w:val="20"/>
          <w:u w:val="single"/>
        </w:rPr>
        <w:br w:type="page"/>
      </w:r>
    </w:p>
    <w:p w14:paraId="0B5A6846" w14:textId="026EC04D" w:rsidR="00392831" w:rsidRPr="00196665" w:rsidRDefault="009F38D4" w:rsidP="00392831">
      <w:pPr>
        <w:rPr>
          <w:rFonts w:ascii="Arial" w:eastAsia="Helvetica Neue" w:hAnsi="Arial" w:cs="Arial"/>
          <w:b/>
          <w:bCs/>
          <w:iCs/>
          <w:color w:val="000000"/>
          <w:sz w:val="20"/>
          <w:szCs w:val="20"/>
          <w:u w:val="single"/>
        </w:rPr>
      </w:pPr>
      <w:r w:rsidRPr="009F38D4">
        <w:rPr>
          <w:rFonts w:ascii="Arial" w:hAnsi="Arial"/>
          <w:b/>
          <w:bCs/>
          <w:iCs/>
          <w:color w:val="000000"/>
          <w:sz w:val="20"/>
          <w:szCs w:val="20"/>
          <w:u w:val="single"/>
        </w:rPr>
        <w:lastRenderedPageBreak/>
        <w:t xml:space="preserve">Bel accelerates </w:t>
      </w:r>
      <w:r w:rsidR="00392831">
        <w:rPr>
          <w:rFonts w:ascii="Arial" w:hAnsi="Arial"/>
          <w:b/>
          <w:bCs/>
          <w:iCs/>
          <w:color w:val="000000"/>
          <w:sz w:val="20"/>
          <w:szCs w:val="20"/>
          <w:u w:val="single"/>
        </w:rPr>
        <w:t xml:space="preserve">on international </w:t>
      </w:r>
      <w:proofErr w:type="gramStart"/>
      <w:r w:rsidR="00392831">
        <w:rPr>
          <w:rFonts w:ascii="Arial" w:hAnsi="Arial"/>
          <w:b/>
          <w:bCs/>
          <w:iCs/>
          <w:color w:val="000000"/>
          <w:sz w:val="20"/>
          <w:szCs w:val="20"/>
          <w:u w:val="single"/>
        </w:rPr>
        <w:t>markets</w:t>
      </w:r>
      <w:proofErr w:type="gramEnd"/>
    </w:p>
    <w:p w14:paraId="4BAD2BBE" w14:textId="77777777" w:rsidR="00D44F6B" w:rsidRPr="00E80D3C" w:rsidRDefault="00D44F6B" w:rsidP="00D44F6B">
      <w:pPr>
        <w:rPr>
          <w:rFonts w:ascii="Arial" w:eastAsia="Helvetica Neue" w:hAnsi="Arial" w:cs="Arial"/>
          <w:i/>
          <w:color w:val="000000"/>
          <w:sz w:val="22"/>
          <w:szCs w:val="22"/>
          <w:lang w:val="en-GB"/>
        </w:rPr>
      </w:pPr>
    </w:p>
    <w:p w14:paraId="35C62CFA" w14:textId="2794F103" w:rsidR="00D44F6B" w:rsidRDefault="00772B87" w:rsidP="00746F2B">
      <w:pPr>
        <w:jc w:val="both"/>
        <w:rPr>
          <w:rFonts w:ascii="Arial" w:hAnsi="Arial"/>
          <w:sz w:val="20"/>
          <w:szCs w:val="20"/>
        </w:rPr>
      </w:pPr>
      <w:r>
        <w:rPr>
          <w:rFonts w:ascii="Arial" w:hAnsi="Arial"/>
          <w:sz w:val="20"/>
          <w:szCs w:val="20"/>
        </w:rPr>
        <w:t xml:space="preserve">Bel pursued its international expansion strategy in 2023, with good results. The fruit segment continued to deliver strong organic growth in sales versus the prior year, particularly in the United States and Canada. China recorded a hefty increase in sales for the fourth consecutive year, underpinned by the performance of the Kiri® brand. Progress was also made in establishing international growth drivers. Junjun Cheese made a promising start in China, and the joint venture set up with Britannia Industries moved forward as planned, with the successful launch of the first product </w:t>
      </w:r>
      <w:r w:rsidRPr="00743AD9">
        <w:rPr>
          <w:rFonts w:ascii="Arial" w:hAnsi="Arial"/>
          <w:sz w:val="20"/>
          <w:szCs w:val="20"/>
        </w:rPr>
        <w:t>co-branded The Laughing Cow®.</w:t>
      </w:r>
      <w:r w:rsidR="00A617CA">
        <w:rPr>
          <w:rFonts w:ascii="Arial" w:hAnsi="Arial"/>
          <w:sz w:val="20"/>
          <w:szCs w:val="20"/>
        </w:rPr>
        <w:t xml:space="preserve"> </w:t>
      </w:r>
      <w:r w:rsidR="00BB6262">
        <w:rPr>
          <w:rFonts w:ascii="Arial" w:hAnsi="Arial"/>
          <w:sz w:val="20"/>
          <w:szCs w:val="20"/>
        </w:rPr>
        <w:t>As a result, more than</w:t>
      </w:r>
      <w:r w:rsidR="003D627F">
        <w:rPr>
          <w:rFonts w:ascii="Arial" w:hAnsi="Arial"/>
          <w:sz w:val="20"/>
          <w:szCs w:val="20"/>
        </w:rPr>
        <w:t xml:space="preserve"> 80</w:t>
      </w:r>
      <w:r w:rsidR="00BB6262">
        <w:rPr>
          <w:rFonts w:ascii="Arial" w:hAnsi="Arial"/>
          <w:sz w:val="20"/>
          <w:szCs w:val="20"/>
        </w:rPr>
        <w:t>% of Bel’s sales now come from outside France.</w:t>
      </w:r>
    </w:p>
    <w:p w14:paraId="3D872CCC" w14:textId="77777777" w:rsidR="00E61451" w:rsidRDefault="00E61451" w:rsidP="00746F2B">
      <w:pPr>
        <w:jc w:val="both"/>
        <w:rPr>
          <w:rFonts w:ascii="Arial" w:eastAsia="Helvetica Neue" w:hAnsi="Arial" w:cs="Arial"/>
          <w:b/>
          <w:bCs/>
          <w:color w:val="000000"/>
          <w:sz w:val="20"/>
          <w:szCs w:val="20"/>
          <w:u w:val="single"/>
        </w:rPr>
      </w:pPr>
    </w:p>
    <w:p w14:paraId="60E45C23" w14:textId="49194148" w:rsidR="00746F2B" w:rsidRPr="00F601CF" w:rsidRDefault="00BA2403" w:rsidP="00746F2B">
      <w:pPr>
        <w:jc w:val="both"/>
        <w:rPr>
          <w:rFonts w:ascii="Arial" w:eastAsia="Helvetica Neue" w:hAnsi="Arial" w:cs="Arial"/>
          <w:b/>
          <w:bCs/>
          <w:color w:val="000000"/>
          <w:sz w:val="20"/>
          <w:szCs w:val="20"/>
          <w:u w:val="single"/>
        </w:rPr>
      </w:pPr>
      <w:r>
        <w:rPr>
          <w:rFonts w:ascii="Arial" w:hAnsi="Arial"/>
          <w:b/>
          <w:bCs/>
          <w:color w:val="000000"/>
          <w:sz w:val="20"/>
          <w:szCs w:val="20"/>
          <w:u w:val="single"/>
        </w:rPr>
        <w:t xml:space="preserve">Strengthened commitment to CSR and </w:t>
      </w:r>
      <w:r w:rsidR="00A617CA">
        <w:rPr>
          <w:rFonts w:ascii="Arial" w:hAnsi="Arial"/>
          <w:b/>
          <w:bCs/>
          <w:color w:val="000000"/>
          <w:sz w:val="20"/>
          <w:szCs w:val="20"/>
          <w:u w:val="single"/>
        </w:rPr>
        <w:t xml:space="preserve">unparalleled </w:t>
      </w:r>
      <w:r>
        <w:rPr>
          <w:rFonts w:ascii="Arial" w:hAnsi="Arial"/>
          <w:b/>
          <w:bCs/>
          <w:color w:val="000000"/>
          <w:sz w:val="20"/>
          <w:szCs w:val="20"/>
          <w:u w:val="single"/>
        </w:rPr>
        <w:t>support for the dairy industry</w:t>
      </w:r>
    </w:p>
    <w:p w14:paraId="33AF98C9" w14:textId="77777777" w:rsidR="00746F2B" w:rsidRPr="00E80D3C" w:rsidRDefault="00746F2B" w:rsidP="00746F2B">
      <w:pPr>
        <w:jc w:val="both"/>
        <w:rPr>
          <w:rFonts w:ascii="Arial" w:eastAsia="Helvetica Neue" w:hAnsi="Arial" w:cs="Arial"/>
          <w:b/>
          <w:bCs/>
          <w:color w:val="000000"/>
          <w:sz w:val="20"/>
          <w:szCs w:val="20"/>
          <w:highlight w:val="yellow"/>
          <w:u w:val="single"/>
          <w:lang w:val="en-GB"/>
        </w:rPr>
      </w:pPr>
    </w:p>
    <w:p w14:paraId="730474FE" w14:textId="02CE0371" w:rsidR="002D64C2" w:rsidRPr="002D64C2" w:rsidRDefault="009D27A5" w:rsidP="002D64C2">
      <w:pPr>
        <w:jc w:val="both"/>
        <w:rPr>
          <w:rFonts w:ascii="Arial" w:hAnsi="Arial" w:cs="Arial"/>
          <w:sz w:val="20"/>
          <w:szCs w:val="20"/>
        </w:rPr>
      </w:pPr>
      <w:r>
        <w:rPr>
          <w:rFonts w:ascii="Arial" w:hAnsi="Arial"/>
          <w:sz w:val="20"/>
          <w:szCs w:val="20"/>
        </w:rPr>
        <w:t>In line with its long-term commitment to championing healthier, more responsible food, Bel continued to implement CSR initiatives during the year. For these actions and its overall sustainability performance, Bel earned a platinum rating from EcoVadis in 2023.</w:t>
      </w:r>
    </w:p>
    <w:p w14:paraId="0D091755" w14:textId="77777777" w:rsidR="002D64C2" w:rsidRPr="00E80D3C" w:rsidRDefault="002D64C2" w:rsidP="002D64C2">
      <w:pPr>
        <w:jc w:val="both"/>
        <w:rPr>
          <w:rFonts w:ascii="Arial" w:hAnsi="Arial" w:cs="Arial"/>
          <w:sz w:val="20"/>
          <w:szCs w:val="20"/>
          <w:lang w:val="en-GB"/>
        </w:rPr>
      </w:pPr>
    </w:p>
    <w:p w14:paraId="0FE8AA48" w14:textId="1E4C4B66" w:rsidR="009D27A5" w:rsidRDefault="009D27A5" w:rsidP="002D64C2">
      <w:pPr>
        <w:jc w:val="both"/>
        <w:rPr>
          <w:rFonts w:ascii="Arial" w:hAnsi="Arial" w:cs="Arial"/>
          <w:sz w:val="20"/>
          <w:szCs w:val="20"/>
        </w:rPr>
      </w:pPr>
      <w:r>
        <w:rPr>
          <w:rFonts w:ascii="Arial" w:hAnsi="Arial"/>
          <w:sz w:val="20"/>
          <w:szCs w:val="20"/>
        </w:rPr>
        <w:t xml:space="preserve">In October, Bel and dairy producers association APBO, in partnership with DSM-Firmenich and Institut de l’Elevage (Idele), announced the promising results of a pilot project aimed at reducing methane emissions from dairy cows. Conducted on five dairy farms in western France between January and March 2023, the pilot </w:t>
      </w:r>
      <w:r w:rsidR="00B54084">
        <w:rPr>
          <w:rFonts w:ascii="Arial" w:hAnsi="Arial"/>
          <w:sz w:val="20"/>
          <w:szCs w:val="20"/>
        </w:rPr>
        <w:t>tested</w:t>
      </w:r>
      <w:r>
        <w:rPr>
          <w:rFonts w:ascii="Arial" w:hAnsi="Arial"/>
          <w:sz w:val="20"/>
          <w:szCs w:val="20"/>
        </w:rPr>
        <w:t xml:space="preserve"> the implementation of Bovaer®, a feed additive for dairy cows, in real-life farming conditions. The study paves the way for a more sustainable dairy industry.</w:t>
      </w:r>
      <w:r>
        <w:t xml:space="preserve"> </w:t>
      </w:r>
      <w:r>
        <w:rPr>
          <w:rFonts w:ascii="Arial" w:hAnsi="Arial"/>
          <w:sz w:val="20"/>
          <w:szCs w:val="20"/>
        </w:rPr>
        <w:t>Bel had already announced in July 2023 that it was rolling out the Bovaer® solution to dairy farmers that supply milk to its plant in Slovakia. The plant produces Babybel® cheese for consumers in the United Kingdom, Germany, Czech Republic</w:t>
      </w:r>
      <w:r w:rsidR="00A617CA">
        <w:rPr>
          <w:rFonts w:ascii="Arial" w:hAnsi="Arial"/>
          <w:sz w:val="20"/>
          <w:szCs w:val="20"/>
        </w:rPr>
        <w:t>,</w:t>
      </w:r>
      <w:r>
        <w:rPr>
          <w:rFonts w:ascii="Arial" w:hAnsi="Arial"/>
          <w:sz w:val="20"/>
          <w:szCs w:val="20"/>
        </w:rPr>
        <w:t xml:space="preserve"> and Slovakia.</w:t>
      </w:r>
    </w:p>
    <w:p w14:paraId="3DEE5B05" w14:textId="77777777" w:rsidR="009D27A5" w:rsidRPr="00E80D3C" w:rsidRDefault="009D27A5" w:rsidP="002D64C2">
      <w:pPr>
        <w:jc w:val="both"/>
        <w:rPr>
          <w:rFonts w:ascii="Arial" w:hAnsi="Arial" w:cs="Arial"/>
          <w:sz w:val="20"/>
          <w:szCs w:val="20"/>
          <w:lang w:val="en-GB"/>
        </w:rPr>
      </w:pPr>
    </w:p>
    <w:p w14:paraId="72B9D776" w14:textId="48D286CB" w:rsidR="009D27A5" w:rsidRDefault="00332A24" w:rsidP="002D64C2">
      <w:pPr>
        <w:jc w:val="both"/>
        <w:rPr>
          <w:rFonts w:ascii="Arial" w:hAnsi="Arial" w:cs="Arial"/>
          <w:sz w:val="20"/>
          <w:szCs w:val="20"/>
        </w:rPr>
      </w:pPr>
      <w:r>
        <w:rPr>
          <w:rFonts w:ascii="Arial" w:hAnsi="Arial"/>
          <w:sz w:val="20"/>
          <w:szCs w:val="20"/>
        </w:rPr>
        <w:t>In November, Bel and dairy producers association APBO renewed their annual milk price agreement “Mon BB Lait®” for the 7th consecutive year, defining the milk purchase price for the whole of 2024 based on dairy farm production costs. A responsible deal for both parties, transparent with regard to evolving farm</w:t>
      </w:r>
      <w:r w:rsidR="00A617CA">
        <w:rPr>
          <w:rFonts w:ascii="Arial" w:hAnsi="Arial"/>
          <w:sz w:val="20"/>
          <w:szCs w:val="20"/>
        </w:rPr>
        <w:t>ing</w:t>
      </w:r>
      <w:r>
        <w:rPr>
          <w:rFonts w:ascii="Arial" w:hAnsi="Arial"/>
          <w:sz w:val="20"/>
          <w:szCs w:val="20"/>
        </w:rPr>
        <w:t xml:space="preserve"> costs and a boon for sustainable, high-quality food and agriculture, the new agreement reflects the trust-based partnership established between APBO and Bel over the past seven years.</w:t>
      </w:r>
      <w:r w:rsidR="0058489A">
        <w:rPr>
          <w:rFonts w:ascii="Arial" w:hAnsi="Arial"/>
          <w:sz w:val="20"/>
          <w:szCs w:val="20"/>
        </w:rPr>
        <w:t xml:space="preserve"> </w:t>
      </w:r>
      <w:r>
        <w:rPr>
          <w:rFonts w:ascii="Arial" w:hAnsi="Arial"/>
          <w:sz w:val="20"/>
          <w:szCs w:val="20"/>
        </w:rPr>
        <w:t xml:space="preserve"> </w:t>
      </w:r>
    </w:p>
    <w:p w14:paraId="68EF7607" w14:textId="77777777" w:rsidR="00DE6295" w:rsidRPr="00E80D3C" w:rsidRDefault="00DE6295" w:rsidP="002D64C2">
      <w:pPr>
        <w:jc w:val="both"/>
        <w:rPr>
          <w:rFonts w:ascii="Arial" w:hAnsi="Arial" w:cs="Arial"/>
          <w:sz w:val="20"/>
          <w:szCs w:val="20"/>
          <w:lang w:val="en-GB"/>
        </w:rPr>
      </w:pPr>
    </w:p>
    <w:p w14:paraId="186B7C23" w14:textId="2509C3C4" w:rsidR="00DE6295" w:rsidRPr="00B421D3" w:rsidRDefault="00C05D22" w:rsidP="002D64C2">
      <w:pPr>
        <w:jc w:val="both"/>
        <w:rPr>
          <w:rFonts w:ascii="Arial" w:hAnsi="Arial" w:cs="Arial"/>
          <w:sz w:val="20"/>
          <w:szCs w:val="20"/>
        </w:rPr>
      </w:pPr>
      <w:r>
        <w:rPr>
          <w:rFonts w:ascii="Arial" w:hAnsi="Arial"/>
          <w:sz w:val="20"/>
          <w:szCs w:val="20"/>
        </w:rPr>
        <w:t xml:space="preserve">Recently, Bel inaugurated a new biomass boiler, fueled by organic matter instead of oil, at its plant in Tangier, Morocco. The solution is expected to help </w:t>
      </w:r>
      <w:r w:rsidRPr="0058489A">
        <w:rPr>
          <w:rFonts w:ascii="Arial" w:hAnsi="Arial"/>
          <w:sz w:val="20"/>
          <w:szCs w:val="20"/>
        </w:rPr>
        <w:t>Bel</w:t>
      </w:r>
      <w:r>
        <w:rPr>
          <w:rFonts w:ascii="Arial" w:hAnsi="Arial"/>
          <w:sz w:val="20"/>
          <w:szCs w:val="20"/>
        </w:rPr>
        <w:t xml:space="preserve"> achieve carbon neutrality in the medium term. </w:t>
      </w:r>
    </w:p>
    <w:p w14:paraId="32A0540D" w14:textId="77777777" w:rsidR="009D27A5" w:rsidRPr="00E80D3C" w:rsidRDefault="009D27A5" w:rsidP="002D64C2">
      <w:pPr>
        <w:jc w:val="both"/>
        <w:rPr>
          <w:rFonts w:ascii="Arial" w:hAnsi="Arial" w:cs="Arial"/>
          <w:sz w:val="20"/>
          <w:szCs w:val="20"/>
          <w:lang w:val="en-GB"/>
        </w:rPr>
      </w:pPr>
    </w:p>
    <w:p w14:paraId="7EBB07F0" w14:textId="651EF2A4" w:rsidR="00E841E4" w:rsidRPr="00E841E4" w:rsidRDefault="00E841E4" w:rsidP="00746F2B">
      <w:pPr>
        <w:jc w:val="both"/>
        <w:rPr>
          <w:rFonts w:ascii="Arial" w:eastAsia="Helvetica Neue" w:hAnsi="Arial" w:cs="Arial"/>
          <w:color w:val="000000"/>
          <w:sz w:val="20"/>
          <w:szCs w:val="20"/>
        </w:rPr>
      </w:pPr>
      <w:r>
        <w:rPr>
          <w:rFonts w:ascii="Arial" w:hAnsi="Arial"/>
          <w:color w:val="000000"/>
          <w:sz w:val="20"/>
          <w:szCs w:val="20"/>
        </w:rPr>
        <w:t xml:space="preserve">With the support of its shareholder families, management team and all employees, Bel will continue to make an ever-greater commitment to sustainability in 2024, for the benefit of its stakeholders and the environment. </w:t>
      </w:r>
      <w:r w:rsidR="00B54084" w:rsidRPr="00B54084">
        <w:rPr>
          <w:rFonts w:ascii="Arial" w:hAnsi="Arial"/>
          <w:color w:val="000000"/>
          <w:sz w:val="20"/>
          <w:szCs w:val="20"/>
        </w:rPr>
        <w:t>B</w:t>
      </w:r>
      <w:r w:rsidR="00B54084">
        <w:rPr>
          <w:rFonts w:ascii="Arial" w:hAnsi="Arial"/>
          <w:color w:val="000000"/>
          <w:sz w:val="20"/>
          <w:szCs w:val="20"/>
        </w:rPr>
        <w:t>el</w:t>
      </w:r>
      <w:r w:rsidR="00B54084" w:rsidRPr="00B54084">
        <w:rPr>
          <w:rFonts w:ascii="Arial" w:hAnsi="Arial"/>
          <w:color w:val="000000"/>
          <w:sz w:val="20"/>
          <w:szCs w:val="20"/>
        </w:rPr>
        <w:t xml:space="preserve">'s Board of Directors is therefore proposing a resolution </w:t>
      </w:r>
      <w:r w:rsidR="00B54084">
        <w:rPr>
          <w:rFonts w:ascii="Arial" w:hAnsi="Arial"/>
          <w:color w:val="000000"/>
          <w:sz w:val="20"/>
          <w:szCs w:val="20"/>
        </w:rPr>
        <w:t xml:space="preserve">for </w:t>
      </w:r>
      <w:r w:rsidR="00B54084" w:rsidRPr="002409AC">
        <w:rPr>
          <w:rFonts w:ascii="Arial" w:hAnsi="Arial"/>
          <w:sz w:val="20"/>
          <w:szCs w:val="20"/>
        </w:rPr>
        <w:t>the upcoming shareholders' general meeting</w:t>
      </w:r>
      <w:r w:rsidR="00B54084" w:rsidRPr="00B54084">
        <w:rPr>
          <w:rFonts w:ascii="Arial" w:hAnsi="Arial"/>
          <w:color w:val="000000"/>
          <w:sz w:val="20"/>
          <w:szCs w:val="20"/>
        </w:rPr>
        <w:t xml:space="preserve"> to adopt the </w:t>
      </w:r>
      <w:r w:rsidR="00B54084">
        <w:rPr>
          <w:rFonts w:ascii="Arial" w:hAnsi="Arial"/>
          <w:color w:val="000000"/>
          <w:sz w:val="20"/>
          <w:szCs w:val="20"/>
        </w:rPr>
        <w:t xml:space="preserve">mission driven company </w:t>
      </w:r>
      <w:r w:rsidR="00B54084" w:rsidRPr="00B54084">
        <w:rPr>
          <w:rFonts w:ascii="Arial" w:hAnsi="Arial"/>
          <w:color w:val="000000"/>
          <w:sz w:val="20"/>
          <w:szCs w:val="20"/>
        </w:rPr>
        <w:t>status.</w:t>
      </w:r>
    </w:p>
    <w:p w14:paraId="0C9BFEA3" w14:textId="77777777" w:rsidR="00E841E4" w:rsidRPr="00B54084" w:rsidRDefault="00E841E4" w:rsidP="00746F2B">
      <w:pPr>
        <w:jc w:val="both"/>
        <w:rPr>
          <w:rFonts w:ascii="Arial" w:eastAsia="Helvetica Neue" w:hAnsi="Arial" w:cs="Arial"/>
          <w:b/>
          <w:bCs/>
          <w:color w:val="000000"/>
          <w:sz w:val="20"/>
          <w:szCs w:val="20"/>
          <w:highlight w:val="yellow"/>
          <w:u w:val="single"/>
        </w:rPr>
      </w:pPr>
    </w:p>
    <w:p w14:paraId="53D4E6BC" w14:textId="489C3EC4" w:rsidR="0076053F" w:rsidRPr="0051159D" w:rsidRDefault="00147170" w:rsidP="00940C65">
      <w:pPr>
        <w:jc w:val="both"/>
        <w:rPr>
          <w:rFonts w:ascii="Arial" w:eastAsia="Helvetica Neue" w:hAnsi="Arial" w:cs="Arial"/>
          <w:b/>
          <w:bCs/>
          <w:color w:val="000000"/>
          <w:sz w:val="20"/>
          <w:szCs w:val="20"/>
          <w:u w:val="single"/>
        </w:rPr>
      </w:pPr>
      <w:r>
        <w:rPr>
          <w:rFonts w:ascii="Arial" w:hAnsi="Arial"/>
          <w:b/>
          <w:bCs/>
          <w:color w:val="000000"/>
          <w:sz w:val="20"/>
          <w:szCs w:val="20"/>
          <w:u w:val="single"/>
        </w:rPr>
        <w:t>Outlook for 2024</w:t>
      </w:r>
    </w:p>
    <w:p w14:paraId="2B35B056" w14:textId="77777777" w:rsidR="00196665" w:rsidRPr="00E80D3C" w:rsidRDefault="00196665" w:rsidP="00147170">
      <w:pPr>
        <w:rPr>
          <w:rFonts w:ascii="Arial" w:eastAsia="Helvetica Neue" w:hAnsi="Arial" w:cs="Arial"/>
          <w:b/>
          <w:bCs/>
          <w:iCs/>
          <w:color w:val="000000"/>
          <w:sz w:val="20"/>
          <w:szCs w:val="20"/>
          <w:u w:val="single"/>
          <w:lang w:val="en-GB"/>
        </w:rPr>
      </w:pPr>
    </w:p>
    <w:p w14:paraId="739DEC50" w14:textId="6915DB93" w:rsidR="00D97719" w:rsidRDefault="000C147E" w:rsidP="006258A4">
      <w:pPr>
        <w:jc w:val="both"/>
        <w:rPr>
          <w:rFonts w:ascii="Arial" w:eastAsia="Helvetica Neue" w:hAnsi="Arial" w:cs="Arial"/>
          <w:color w:val="000000"/>
          <w:sz w:val="20"/>
          <w:szCs w:val="20"/>
        </w:rPr>
      </w:pPr>
      <w:r>
        <w:rPr>
          <w:rFonts w:ascii="Arial" w:hAnsi="Arial"/>
          <w:color w:val="000000"/>
          <w:sz w:val="20"/>
          <w:szCs w:val="20"/>
        </w:rPr>
        <w:t xml:space="preserve">Despite the uncertainty surrounding 2024, which will be shaped by developments in inflation, geopolitics and the deep disparities between economies in different regions of the world, Bel is confident in the resilience of its core brands, the continued growth of both its fruit and cheese-based businesses, and the pursuit of its sharp growth trajectory in Asia and North America. </w:t>
      </w:r>
    </w:p>
    <w:p w14:paraId="6D00A266" w14:textId="77777777" w:rsidR="006E190D" w:rsidRPr="00E80D3C" w:rsidRDefault="006E190D" w:rsidP="006258A4">
      <w:pPr>
        <w:jc w:val="both"/>
        <w:rPr>
          <w:rFonts w:ascii="Arial" w:eastAsia="Helvetica Neue" w:hAnsi="Arial" w:cs="Arial"/>
          <w:color w:val="000000"/>
          <w:sz w:val="20"/>
          <w:szCs w:val="20"/>
          <w:lang w:val="en-GB"/>
        </w:rPr>
      </w:pPr>
    </w:p>
    <w:p w14:paraId="55375E84" w14:textId="48C5103A" w:rsidR="001F565D" w:rsidRPr="006258A4" w:rsidRDefault="006E190D" w:rsidP="00A941C2">
      <w:pPr>
        <w:jc w:val="both"/>
        <w:rPr>
          <w:rFonts w:ascii="Arial" w:eastAsia="Helvetica Neue" w:hAnsi="Arial" w:cs="Arial"/>
          <w:color w:val="000000"/>
          <w:sz w:val="20"/>
          <w:szCs w:val="20"/>
        </w:rPr>
      </w:pPr>
      <w:r>
        <w:rPr>
          <w:rFonts w:ascii="Arial" w:hAnsi="Arial"/>
          <w:sz w:val="20"/>
          <w:szCs w:val="20"/>
        </w:rPr>
        <w:t>Bel has successfully adapted and will continue to deploy an ambitious and coherent strategy to strengthen its position in the global healthy snack market, supported by its talented teams and by a forward-thinking, family-focused shareholder structure with a long-term vision.</w:t>
      </w:r>
    </w:p>
    <w:p w14:paraId="0B407331" w14:textId="284ED22B" w:rsidR="006848E3" w:rsidRPr="00E80D3C" w:rsidRDefault="006848E3">
      <w:pPr>
        <w:rPr>
          <w:rFonts w:ascii="Arial" w:eastAsia="Helvetica Neue" w:hAnsi="Arial" w:cs="Arial"/>
          <w:b/>
          <w:bCs/>
          <w:iCs/>
          <w:color w:val="000000"/>
          <w:sz w:val="20"/>
          <w:szCs w:val="20"/>
          <w:u w:val="single"/>
          <w:lang w:val="en-GB"/>
        </w:rPr>
      </w:pPr>
    </w:p>
    <w:p w14:paraId="50A8DEA3" w14:textId="77777777" w:rsidR="009D3156" w:rsidRPr="00E80D3C" w:rsidRDefault="009D3156">
      <w:pPr>
        <w:rPr>
          <w:rFonts w:ascii="Arial" w:eastAsia="Helvetica Neue" w:hAnsi="Arial" w:cs="Arial"/>
          <w:b/>
          <w:bCs/>
          <w:iCs/>
          <w:color w:val="000000"/>
          <w:sz w:val="20"/>
          <w:szCs w:val="20"/>
          <w:u w:val="single"/>
          <w:lang w:val="en-GB"/>
        </w:rPr>
      </w:pPr>
    </w:p>
    <w:p w14:paraId="7DB7ACAE" w14:textId="557A1B47" w:rsidR="00230171" w:rsidRPr="00196665" w:rsidRDefault="00230171" w:rsidP="00230171">
      <w:pPr>
        <w:tabs>
          <w:tab w:val="left" w:leader="dot" w:pos="7560"/>
          <w:tab w:val="right" w:pos="7920"/>
        </w:tabs>
        <w:jc w:val="both"/>
        <w:rPr>
          <w:rFonts w:ascii="Arial" w:hAnsi="Arial" w:cs="Arial"/>
          <w:i/>
          <w:sz w:val="18"/>
          <w:szCs w:val="18"/>
          <w:u w:val="single"/>
        </w:rPr>
      </w:pPr>
      <w:r>
        <w:rPr>
          <w:rFonts w:ascii="Arial" w:hAnsi="Arial"/>
          <w:i/>
          <w:sz w:val="18"/>
          <w:szCs w:val="18"/>
          <w:u w:val="single"/>
        </w:rPr>
        <w:t>Bel's financial performance indicators</w:t>
      </w:r>
    </w:p>
    <w:p w14:paraId="0A687B30" w14:textId="77777777" w:rsidR="00230171" w:rsidRPr="00E80D3C" w:rsidRDefault="00230171" w:rsidP="00230171">
      <w:pPr>
        <w:tabs>
          <w:tab w:val="left" w:leader="dot" w:pos="7560"/>
          <w:tab w:val="right" w:pos="7920"/>
        </w:tabs>
        <w:jc w:val="both"/>
        <w:rPr>
          <w:rFonts w:ascii="Arial" w:hAnsi="Arial" w:cs="Arial"/>
          <w:sz w:val="18"/>
          <w:szCs w:val="18"/>
          <w:u w:val="single"/>
          <w:lang w:val="en-GB"/>
        </w:rPr>
      </w:pPr>
    </w:p>
    <w:p w14:paraId="654A8A2C" w14:textId="77777777" w:rsidR="00230171" w:rsidRPr="00196665" w:rsidRDefault="00230171" w:rsidP="00230171">
      <w:pPr>
        <w:tabs>
          <w:tab w:val="left" w:leader="dot" w:pos="7560"/>
          <w:tab w:val="right" w:pos="7920"/>
        </w:tabs>
        <w:jc w:val="both"/>
        <w:rPr>
          <w:rFonts w:ascii="Arial" w:hAnsi="Arial" w:cs="Arial"/>
          <w:i/>
          <w:iCs/>
          <w:sz w:val="18"/>
          <w:szCs w:val="18"/>
        </w:rPr>
      </w:pPr>
      <w:r>
        <w:rPr>
          <w:rFonts w:ascii="Arial" w:hAnsi="Arial"/>
          <w:i/>
          <w:sz w:val="18"/>
          <w:szCs w:val="18"/>
        </w:rPr>
        <w:t>The Group uses non-IFRS financial performance indicators internally and for its external communication. These non-IFRS indicators are defined below:</w:t>
      </w:r>
    </w:p>
    <w:p w14:paraId="77A39A7D" w14:textId="77777777" w:rsidR="00230171" w:rsidRPr="00E80D3C" w:rsidRDefault="00230171" w:rsidP="00230171">
      <w:pPr>
        <w:tabs>
          <w:tab w:val="left" w:leader="dot" w:pos="7560"/>
          <w:tab w:val="right" w:pos="7920"/>
        </w:tabs>
        <w:jc w:val="both"/>
        <w:rPr>
          <w:rFonts w:ascii="Arial" w:hAnsi="Arial" w:cs="Arial"/>
          <w:i/>
          <w:sz w:val="18"/>
          <w:szCs w:val="18"/>
          <w:lang w:val="en-GB"/>
        </w:rPr>
      </w:pPr>
    </w:p>
    <w:p w14:paraId="5A6AABD0" w14:textId="4B0C5704" w:rsidR="00230171" w:rsidRPr="00196665" w:rsidRDefault="00230171" w:rsidP="00230171">
      <w:pPr>
        <w:tabs>
          <w:tab w:val="left" w:leader="dot" w:pos="7560"/>
          <w:tab w:val="right" w:pos="7920"/>
        </w:tabs>
        <w:jc w:val="both"/>
        <w:rPr>
          <w:rFonts w:ascii="Arial" w:hAnsi="Arial" w:cs="Arial"/>
          <w:i/>
          <w:sz w:val="18"/>
          <w:szCs w:val="18"/>
        </w:rPr>
      </w:pPr>
      <w:r>
        <w:rPr>
          <w:rFonts w:ascii="Arial" w:hAnsi="Arial"/>
          <w:b/>
          <w:i/>
          <w:sz w:val="18"/>
          <w:szCs w:val="18"/>
        </w:rPr>
        <w:t>Organic growth</w:t>
      </w:r>
      <w:r>
        <w:rPr>
          <w:rFonts w:ascii="Arial" w:hAnsi="Arial"/>
          <w:i/>
          <w:sz w:val="18"/>
          <w:szCs w:val="18"/>
        </w:rPr>
        <w:t xml:space="preserve"> corresponds to reported sales growth excluding impacts from foreign exchange fluctuations and changes in the scope of consolidation (i.e. on a constant structure and exchange rate basis) and excluding hyperinflation in Iran and Turkey. Iran is considered a hyperinflation economy since 2020, and Turkey since 2022. Accordingly, inflation impacts in these countries – based on the Consumer Price Index (CPI) – have been excluded when determining organic growth. The organic growth rate is calculated by applying the exchange rate for the prior-year period to the current-year period.</w:t>
      </w:r>
    </w:p>
    <w:p w14:paraId="494E34E3" w14:textId="77777777" w:rsidR="00230171" w:rsidRPr="00E80D3C" w:rsidRDefault="00230171" w:rsidP="00230171">
      <w:pPr>
        <w:tabs>
          <w:tab w:val="left" w:leader="dot" w:pos="7560"/>
          <w:tab w:val="right" w:pos="7920"/>
        </w:tabs>
        <w:jc w:val="both"/>
        <w:rPr>
          <w:rFonts w:ascii="Arial" w:hAnsi="Arial" w:cs="Arial"/>
          <w:i/>
          <w:sz w:val="18"/>
          <w:szCs w:val="18"/>
          <w:lang w:val="en-GB"/>
        </w:rPr>
      </w:pPr>
    </w:p>
    <w:p w14:paraId="584FB8A3" w14:textId="606661F4" w:rsidR="00230171" w:rsidRPr="00196665" w:rsidRDefault="00230171" w:rsidP="00230171">
      <w:pPr>
        <w:tabs>
          <w:tab w:val="left" w:leader="dot" w:pos="7560"/>
          <w:tab w:val="right" w:pos="7920"/>
        </w:tabs>
        <w:jc w:val="both"/>
        <w:rPr>
          <w:rFonts w:ascii="Arial" w:hAnsi="Arial" w:cs="Arial"/>
          <w:i/>
          <w:sz w:val="18"/>
          <w:szCs w:val="18"/>
        </w:rPr>
      </w:pPr>
      <w:r>
        <w:rPr>
          <w:rFonts w:ascii="Arial" w:hAnsi="Arial"/>
          <w:b/>
          <w:i/>
          <w:sz w:val="18"/>
          <w:szCs w:val="18"/>
        </w:rPr>
        <w:t>Operating margin</w:t>
      </w:r>
      <w:r>
        <w:rPr>
          <w:rFonts w:ascii="Arial" w:hAnsi="Arial"/>
          <w:i/>
          <w:sz w:val="18"/>
          <w:szCs w:val="18"/>
        </w:rPr>
        <w:t xml:space="preserve"> corresponds to operating income.</w:t>
      </w:r>
    </w:p>
    <w:p w14:paraId="52C8ABF9" w14:textId="4B34653E" w:rsidR="00292963" w:rsidRPr="00E80D3C" w:rsidRDefault="00292963" w:rsidP="00230171">
      <w:pPr>
        <w:tabs>
          <w:tab w:val="left" w:leader="dot" w:pos="7560"/>
          <w:tab w:val="right" w:pos="7920"/>
        </w:tabs>
        <w:jc w:val="both"/>
        <w:rPr>
          <w:rFonts w:ascii="Arial" w:hAnsi="Arial" w:cs="Arial"/>
          <w:i/>
          <w:sz w:val="18"/>
          <w:szCs w:val="18"/>
          <w:lang w:val="en-GB"/>
        </w:rPr>
      </w:pPr>
    </w:p>
    <w:p w14:paraId="5AA6099E" w14:textId="1B885C7A" w:rsidR="00FB2390" w:rsidRPr="009E7FB3" w:rsidRDefault="00F318C3" w:rsidP="00FB2390">
      <w:pPr>
        <w:tabs>
          <w:tab w:val="left" w:leader="dot" w:pos="7560"/>
          <w:tab w:val="right" w:pos="7920"/>
        </w:tabs>
        <w:jc w:val="both"/>
        <w:rPr>
          <w:rFonts w:ascii="Arial" w:hAnsi="Arial" w:cs="Arial"/>
          <w:i/>
          <w:sz w:val="18"/>
          <w:szCs w:val="18"/>
        </w:rPr>
      </w:pPr>
      <w:r w:rsidRPr="007C2214">
        <w:rPr>
          <w:rFonts w:ascii="Arial" w:hAnsi="Arial"/>
          <w:b/>
          <w:bCs/>
          <w:i/>
          <w:sz w:val="18"/>
          <w:szCs w:val="18"/>
        </w:rPr>
        <w:t xml:space="preserve">Free cash flow </w:t>
      </w:r>
      <w:r w:rsidR="00A14F58" w:rsidRPr="007C2214">
        <w:rPr>
          <w:rFonts w:ascii="Arial" w:hAnsi="Arial"/>
          <w:i/>
          <w:sz w:val="18"/>
          <w:szCs w:val="18"/>
        </w:rPr>
        <w:t>consists of</w:t>
      </w:r>
      <w:r w:rsidR="00FB2390" w:rsidRPr="007C2214">
        <w:rPr>
          <w:rFonts w:ascii="Arial" w:hAnsi="Arial"/>
          <w:i/>
          <w:sz w:val="18"/>
          <w:szCs w:val="18"/>
        </w:rPr>
        <w:t>:</w:t>
      </w:r>
      <w:r w:rsidR="00FB2390">
        <w:rPr>
          <w:rFonts w:ascii="Arial" w:hAnsi="Arial"/>
          <w:i/>
          <w:sz w:val="18"/>
          <w:szCs w:val="18"/>
        </w:rPr>
        <w:t xml:space="preserve"> </w:t>
      </w:r>
    </w:p>
    <w:p w14:paraId="2ECBE1E5" w14:textId="24A8E20E" w:rsidR="00FB2390" w:rsidRPr="00FF71D5" w:rsidRDefault="00FB2390" w:rsidP="00FB2390">
      <w:pPr>
        <w:tabs>
          <w:tab w:val="left" w:leader="dot" w:pos="7560"/>
          <w:tab w:val="right" w:pos="7920"/>
        </w:tabs>
        <w:jc w:val="both"/>
        <w:rPr>
          <w:rFonts w:ascii="Arial" w:hAnsi="Arial" w:cs="Arial"/>
          <w:i/>
          <w:sz w:val="18"/>
          <w:szCs w:val="18"/>
        </w:rPr>
      </w:pPr>
      <w:r>
        <w:rPr>
          <w:rFonts w:ascii="Arial" w:hAnsi="Arial"/>
          <w:i/>
          <w:sz w:val="18"/>
          <w:szCs w:val="18"/>
        </w:rPr>
        <w:t xml:space="preserve">– (i) </w:t>
      </w:r>
      <w:r>
        <w:rPr>
          <w:rFonts w:ascii="Arial" w:hAnsi="Arial"/>
          <w:b/>
          <w:bCs/>
          <w:i/>
          <w:sz w:val="18"/>
          <w:szCs w:val="18"/>
        </w:rPr>
        <w:t>cash flow from operations</w:t>
      </w:r>
      <w:r>
        <w:rPr>
          <w:rFonts w:ascii="Arial" w:hAnsi="Arial"/>
          <w:i/>
          <w:sz w:val="18"/>
          <w:szCs w:val="18"/>
        </w:rPr>
        <w:t xml:space="preserve">, corresponding to profit before tax adjusted for the following items: </w:t>
      </w:r>
      <w:r w:rsidRPr="002220DC">
        <w:rPr>
          <w:rFonts w:ascii="Arial" w:hAnsi="Arial"/>
          <w:i/>
          <w:sz w:val="18"/>
          <w:szCs w:val="18"/>
        </w:rPr>
        <w:t>depreciation</w:t>
      </w:r>
      <w:r w:rsidR="002220DC">
        <w:rPr>
          <w:rFonts w:ascii="Arial" w:hAnsi="Arial"/>
          <w:i/>
          <w:sz w:val="18"/>
          <w:szCs w:val="18"/>
        </w:rPr>
        <w:t xml:space="preserve"> </w:t>
      </w:r>
      <w:r>
        <w:rPr>
          <w:rFonts w:ascii="Arial" w:hAnsi="Arial"/>
          <w:i/>
          <w:sz w:val="18"/>
          <w:szCs w:val="18"/>
        </w:rPr>
        <w:t xml:space="preserve">and provision, depreciation of rights of use, capital gains and losses on disposals, financial income and expenses, financial </w:t>
      </w:r>
      <w:proofErr w:type="gramStart"/>
      <w:r>
        <w:rPr>
          <w:rFonts w:ascii="Arial" w:hAnsi="Arial"/>
          <w:i/>
          <w:sz w:val="18"/>
          <w:szCs w:val="18"/>
        </w:rPr>
        <w:t>income</w:t>
      </w:r>
      <w:proofErr w:type="gramEnd"/>
      <w:r>
        <w:rPr>
          <w:rFonts w:ascii="Arial" w:hAnsi="Arial"/>
          <w:i/>
          <w:sz w:val="18"/>
          <w:szCs w:val="18"/>
        </w:rPr>
        <w:t xml:space="preserve"> and expenses on rights of use, share of profit of companies accounted for by the equity method, and other non-monetary items of income,</w:t>
      </w:r>
    </w:p>
    <w:p w14:paraId="5EA5CC75" w14:textId="72E71812" w:rsidR="00FB2390" w:rsidRPr="00FB2390" w:rsidRDefault="00FB2390" w:rsidP="00FB2390">
      <w:pPr>
        <w:tabs>
          <w:tab w:val="left" w:leader="dot" w:pos="7560"/>
          <w:tab w:val="right" w:pos="7920"/>
        </w:tabs>
        <w:jc w:val="both"/>
        <w:rPr>
          <w:rFonts w:ascii="Arial" w:hAnsi="Arial" w:cs="Arial"/>
          <w:i/>
          <w:sz w:val="18"/>
          <w:szCs w:val="18"/>
        </w:rPr>
      </w:pPr>
      <w:r>
        <w:rPr>
          <w:rFonts w:ascii="Arial" w:hAnsi="Arial"/>
          <w:i/>
          <w:sz w:val="18"/>
          <w:szCs w:val="18"/>
        </w:rPr>
        <w:t xml:space="preserve">– (ii) plus </w:t>
      </w:r>
      <w:r>
        <w:rPr>
          <w:rFonts w:ascii="Arial" w:hAnsi="Arial"/>
          <w:b/>
          <w:bCs/>
          <w:i/>
          <w:sz w:val="18"/>
          <w:szCs w:val="18"/>
        </w:rPr>
        <w:t>changes in inventories</w:t>
      </w:r>
      <w:r>
        <w:rPr>
          <w:rFonts w:ascii="Arial" w:hAnsi="Arial"/>
          <w:i/>
          <w:sz w:val="18"/>
          <w:szCs w:val="18"/>
        </w:rPr>
        <w:t xml:space="preserve">, </w:t>
      </w:r>
      <w:r>
        <w:rPr>
          <w:rFonts w:ascii="Arial" w:hAnsi="Arial"/>
          <w:b/>
          <w:bCs/>
          <w:i/>
          <w:sz w:val="18"/>
          <w:szCs w:val="18"/>
        </w:rPr>
        <w:t>current receivables</w:t>
      </w:r>
      <w:r>
        <w:rPr>
          <w:rFonts w:ascii="Arial" w:hAnsi="Arial"/>
          <w:i/>
          <w:sz w:val="18"/>
          <w:szCs w:val="18"/>
        </w:rPr>
        <w:t xml:space="preserve"> and </w:t>
      </w:r>
      <w:r>
        <w:rPr>
          <w:rFonts w:ascii="Arial" w:hAnsi="Arial"/>
          <w:b/>
          <w:bCs/>
          <w:i/>
          <w:sz w:val="18"/>
          <w:szCs w:val="18"/>
        </w:rPr>
        <w:t>payables</w:t>
      </w:r>
      <w:r>
        <w:rPr>
          <w:rFonts w:ascii="Arial" w:hAnsi="Arial"/>
          <w:i/>
          <w:sz w:val="18"/>
          <w:szCs w:val="18"/>
        </w:rPr>
        <w:t xml:space="preserve">, </w:t>
      </w:r>
      <w:r>
        <w:rPr>
          <w:rFonts w:ascii="Arial" w:hAnsi="Arial"/>
          <w:b/>
          <w:bCs/>
          <w:i/>
          <w:sz w:val="18"/>
          <w:szCs w:val="18"/>
        </w:rPr>
        <w:t>income taxes paid</w:t>
      </w:r>
      <w:r>
        <w:rPr>
          <w:rFonts w:ascii="Arial" w:hAnsi="Arial"/>
          <w:i/>
          <w:sz w:val="18"/>
          <w:szCs w:val="18"/>
        </w:rPr>
        <w:t xml:space="preserve">, </w:t>
      </w:r>
      <w:r>
        <w:rPr>
          <w:rFonts w:ascii="Arial" w:hAnsi="Arial"/>
          <w:b/>
          <w:bCs/>
          <w:i/>
          <w:sz w:val="18"/>
          <w:szCs w:val="18"/>
        </w:rPr>
        <w:t>acquisitions of property, plant and equipment and intangible assets</w:t>
      </w:r>
      <w:r>
        <w:rPr>
          <w:rFonts w:ascii="Arial" w:hAnsi="Arial"/>
          <w:i/>
          <w:sz w:val="18"/>
          <w:szCs w:val="18"/>
        </w:rPr>
        <w:t xml:space="preserve">, </w:t>
      </w:r>
      <w:r>
        <w:rPr>
          <w:rFonts w:ascii="Arial" w:hAnsi="Arial"/>
          <w:b/>
          <w:bCs/>
          <w:i/>
          <w:sz w:val="18"/>
          <w:szCs w:val="18"/>
        </w:rPr>
        <w:t>disposals of property, plant and equipment and intangible assets</w:t>
      </w:r>
      <w:r>
        <w:rPr>
          <w:rFonts w:ascii="Arial" w:hAnsi="Arial"/>
          <w:i/>
          <w:sz w:val="18"/>
          <w:szCs w:val="18"/>
        </w:rPr>
        <w:t xml:space="preserve">, </w:t>
      </w:r>
      <w:r>
        <w:rPr>
          <w:rFonts w:ascii="Arial" w:hAnsi="Arial"/>
          <w:b/>
          <w:bCs/>
          <w:i/>
          <w:sz w:val="18"/>
          <w:szCs w:val="18"/>
        </w:rPr>
        <w:t>investment grants received</w:t>
      </w:r>
      <w:r>
        <w:rPr>
          <w:rFonts w:ascii="Arial" w:hAnsi="Arial"/>
          <w:i/>
          <w:sz w:val="18"/>
          <w:szCs w:val="18"/>
        </w:rPr>
        <w:t xml:space="preserve">, </w:t>
      </w:r>
      <w:r>
        <w:rPr>
          <w:rFonts w:ascii="Arial" w:hAnsi="Arial"/>
          <w:b/>
          <w:bCs/>
          <w:i/>
          <w:sz w:val="18"/>
          <w:szCs w:val="18"/>
        </w:rPr>
        <w:t>interest paid</w:t>
      </w:r>
      <w:r>
        <w:rPr>
          <w:rFonts w:ascii="Arial" w:hAnsi="Arial"/>
          <w:i/>
          <w:sz w:val="18"/>
          <w:szCs w:val="18"/>
        </w:rPr>
        <w:t xml:space="preserve">, </w:t>
      </w:r>
      <w:r w:rsidRPr="002220DC">
        <w:rPr>
          <w:rFonts w:ascii="Arial" w:hAnsi="Arial"/>
          <w:i/>
          <w:sz w:val="18"/>
          <w:szCs w:val="18"/>
        </w:rPr>
        <w:t xml:space="preserve">share of debt repayments </w:t>
      </w:r>
      <w:r>
        <w:rPr>
          <w:rFonts w:ascii="Arial" w:hAnsi="Arial"/>
          <w:i/>
          <w:sz w:val="18"/>
          <w:szCs w:val="18"/>
        </w:rPr>
        <w:t xml:space="preserve">and </w:t>
      </w:r>
      <w:r>
        <w:rPr>
          <w:rFonts w:ascii="Arial" w:hAnsi="Arial"/>
          <w:b/>
          <w:bCs/>
          <w:i/>
          <w:sz w:val="18"/>
          <w:szCs w:val="18"/>
        </w:rPr>
        <w:t>interest expense on rights-of-use</w:t>
      </w:r>
      <w:r>
        <w:rPr>
          <w:rFonts w:ascii="Arial" w:hAnsi="Arial"/>
          <w:i/>
          <w:sz w:val="18"/>
          <w:szCs w:val="18"/>
        </w:rPr>
        <w:t>.</w:t>
      </w:r>
    </w:p>
    <w:p w14:paraId="4435E0A6" w14:textId="61F814E6" w:rsidR="00292963" w:rsidRPr="00E80D3C" w:rsidRDefault="00292963" w:rsidP="00230171">
      <w:pPr>
        <w:tabs>
          <w:tab w:val="left" w:leader="dot" w:pos="7560"/>
          <w:tab w:val="right" w:pos="7920"/>
        </w:tabs>
        <w:jc w:val="both"/>
        <w:rPr>
          <w:rFonts w:ascii="Arial" w:hAnsi="Arial" w:cs="Arial"/>
          <w:i/>
          <w:sz w:val="18"/>
          <w:szCs w:val="18"/>
          <w:lang w:val="en-GB"/>
        </w:rPr>
      </w:pPr>
    </w:p>
    <w:p w14:paraId="045E8CF8" w14:textId="6BF856D1" w:rsidR="00230171" w:rsidRPr="00196665" w:rsidRDefault="00230171" w:rsidP="00230171">
      <w:pPr>
        <w:tabs>
          <w:tab w:val="left" w:leader="dot" w:pos="7560"/>
          <w:tab w:val="right" w:pos="7920"/>
        </w:tabs>
        <w:jc w:val="both"/>
        <w:rPr>
          <w:rFonts w:ascii="Arial" w:hAnsi="Arial" w:cs="Arial"/>
          <w:i/>
          <w:sz w:val="18"/>
          <w:szCs w:val="18"/>
        </w:rPr>
      </w:pPr>
      <w:r w:rsidRPr="007C2214">
        <w:rPr>
          <w:rFonts w:ascii="Arial" w:hAnsi="Arial"/>
          <w:b/>
          <w:i/>
          <w:sz w:val="18"/>
          <w:szCs w:val="18"/>
        </w:rPr>
        <w:t>Net financial debt</w:t>
      </w:r>
      <w:r w:rsidRPr="007C2214">
        <w:rPr>
          <w:rFonts w:ascii="Arial" w:hAnsi="Arial"/>
          <w:i/>
          <w:sz w:val="18"/>
          <w:szCs w:val="18"/>
        </w:rPr>
        <w:t xml:space="preserve"> is described in note 4</w:t>
      </w:r>
      <w:r w:rsidR="007C2214">
        <w:rPr>
          <w:rFonts w:ascii="Arial" w:hAnsi="Arial"/>
          <w:i/>
          <w:sz w:val="18"/>
          <w:szCs w:val="18"/>
        </w:rPr>
        <w:t>.14</w:t>
      </w:r>
      <w:r w:rsidRPr="007C2214">
        <w:rPr>
          <w:rFonts w:ascii="Arial" w:hAnsi="Arial"/>
          <w:i/>
          <w:sz w:val="18"/>
          <w:szCs w:val="18"/>
        </w:rPr>
        <w:t xml:space="preserve"> to the consolidated financial statements. It consists of long and</w:t>
      </w:r>
      <w:r>
        <w:rPr>
          <w:rFonts w:ascii="Arial" w:hAnsi="Arial"/>
          <w:i/>
          <w:sz w:val="18"/>
          <w:szCs w:val="18"/>
        </w:rPr>
        <w:t xml:space="preserve"> short-term borrowings, long and short-term right-of-use liabilities, and current used banking facilities, less cash and cash equivalents. </w:t>
      </w:r>
    </w:p>
    <w:p w14:paraId="3A52CBDA" w14:textId="77777777" w:rsidR="00230171" w:rsidRPr="00E80D3C" w:rsidRDefault="00230171" w:rsidP="00230171">
      <w:pPr>
        <w:tabs>
          <w:tab w:val="left" w:leader="dot" w:pos="7560"/>
          <w:tab w:val="right" w:pos="7920"/>
        </w:tabs>
        <w:jc w:val="both"/>
        <w:rPr>
          <w:rFonts w:ascii="Arial" w:hAnsi="Arial" w:cs="Arial"/>
          <w:i/>
          <w:sz w:val="18"/>
          <w:szCs w:val="18"/>
          <w:u w:val="single"/>
          <w:lang w:val="en-GB"/>
        </w:rPr>
      </w:pPr>
    </w:p>
    <w:p w14:paraId="15634829" w14:textId="508FF3D6" w:rsidR="00230171" w:rsidRPr="00196665" w:rsidRDefault="00230171" w:rsidP="00230171">
      <w:pPr>
        <w:tabs>
          <w:tab w:val="left" w:leader="dot" w:pos="7560"/>
          <w:tab w:val="right" w:pos="7920"/>
        </w:tabs>
        <w:ind w:right="-53"/>
        <w:jc w:val="both"/>
        <w:rPr>
          <w:rFonts w:ascii="Arial" w:hAnsi="Arial" w:cs="Arial"/>
          <w:i/>
          <w:sz w:val="18"/>
          <w:szCs w:val="18"/>
        </w:rPr>
      </w:pPr>
      <w:r>
        <w:rPr>
          <w:rFonts w:ascii="Arial" w:hAnsi="Arial"/>
          <w:i/>
          <w:sz w:val="18"/>
          <w:szCs w:val="18"/>
        </w:rPr>
        <w:t xml:space="preserve">This press release may contain forward-looking statements. Such trend and/or target information should in no way be regarded as earnings forecast data or performance indicators of any kind. This information is by nature subject to risks and uncertainties that may be beyond the Company's control. A detailed description of these risks and uncertainties is provided in the Company's Universal Registration Document, available at </w:t>
      </w:r>
      <w:r>
        <w:rPr>
          <w:rStyle w:val="Lienhypertexte"/>
          <w:rFonts w:ascii="Arial" w:hAnsi="Arial"/>
          <w:i/>
          <w:sz w:val="18"/>
          <w:szCs w:val="18"/>
        </w:rPr>
        <w:t>www.groupe-bel.com</w:t>
      </w:r>
      <w:r>
        <w:rPr>
          <w:rFonts w:ascii="Arial" w:hAnsi="Arial"/>
          <w:i/>
          <w:sz w:val="18"/>
          <w:szCs w:val="18"/>
        </w:rPr>
        <w:t xml:space="preserve">. More comprehensive information about the Bel Group can be found in the </w:t>
      </w:r>
      <w:r w:rsidR="00743AD9">
        <w:rPr>
          <w:rFonts w:ascii="Arial" w:hAnsi="Arial"/>
          <w:i/>
          <w:sz w:val="18"/>
          <w:szCs w:val="18"/>
        </w:rPr>
        <w:t>“</w:t>
      </w:r>
      <w:r>
        <w:rPr>
          <w:rFonts w:ascii="Arial" w:hAnsi="Arial"/>
          <w:i/>
          <w:sz w:val="18"/>
          <w:szCs w:val="18"/>
        </w:rPr>
        <w:t>Regulatory Information</w:t>
      </w:r>
      <w:r w:rsidR="00743AD9">
        <w:rPr>
          <w:rFonts w:ascii="Arial" w:hAnsi="Arial"/>
          <w:i/>
          <w:sz w:val="18"/>
          <w:szCs w:val="18"/>
        </w:rPr>
        <w:t xml:space="preserve">” </w:t>
      </w:r>
      <w:r>
        <w:rPr>
          <w:rFonts w:ascii="Arial" w:hAnsi="Arial"/>
          <w:i/>
          <w:sz w:val="18"/>
          <w:szCs w:val="18"/>
        </w:rPr>
        <w:t>section of the</w:t>
      </w:r>
      <w:r w:rsidR="00743AD9">
        <w:t xml:space="preserve"> </w:t>
      </w:r>
      <w:hyperlink r:id="rId11" w:history="1">
        <w:r w:rsidR="00743AD9" w:rsidRPr="00A410D6">
          <w:rPr>
            <w:rStyle w:val="Lienhypertexte"/>
            <w:rFonts w:ascii="Arial" w:hAnsi="Arial"/>
            <w:i/>
            <w:sz w:val="18"/>
            <w:szCs w:val="18"/>
          </w:rPr>
          <w:t>www.groupe-bel.com</w:t>
        </w:r>
      </w:hyperlink>
      <w:r>
        <w:rPr>
          <w:rFonts w:ascii="Arial" w:hAnsi="Arial"/>
          <w:i/>
          <w:sz w:val="18"/>
          <w:szCs w:val="18"/>
        </w:rPr>
        <w:t xml:space="preserve"> website.</w:t>
      </w:r>
    </w:p>
    <w:p w14:paraId="0011C8B3" w14:textId="77777777" w:rsidR="004D5677" w:rsidRPr="00E80D3C" w:rsidRDefault="004D5677" w:rsidP="00940C65">
      <w:pPr>
        <w:jc w:val="both"/>
        <w:rPr>
          <w:rFonts w:ascii="Arial" w:eastAsia="Helvetica Neue" w:hAnsi="Arial" w:cs="Arial"/>
          <w:b/>
          <w:color w:val="006041"/>
          <w:sz w:val="20"/>
          <w:szCs w:val="20"/>
          <w:u w:val="single"/>
          <w:lang w:val="en-GB"/>
        </w:rPr>
      </w:pPr>
    </w:p>
    <w:p w14:paraId="4F61EB75" w14:textId="77777777" w:rsidR="003F0E75" w:rsidRPr="00E80D3C" w:rsidRDefault="003F0E75" w:rsidP="00940C65">
      <w:pPr>
        <w:jc w:val="both"/>
        <w:rPr>
          <w:rFonts w:ascii="Arial" w:eastAsia="Helvetica Neue" w:hAnsi="Arial" w:cs="Arial"/>
          <w:b/>
          <w:color w:val="006041"/>
          <w:sz w:val="20"/>
          <w:szCs w:val="20"/>
          <w:u w:val="single"/>
          <w:lang w:val="en-GB"/>
        </w:rPr>
      </w:pPr>
    </w:p>
    <w:p w14:paraId="7836B3B4" w14:textId="77777777" w:rsidR="006848E3" w:rsidRPr="00196665" w:rsidRDefault="006848E3" w:rsidP="006848E3">
      <w:pPr>
        <w:jc w:val="both"/>
        <w:rPr>
          <w:rFonts w:ascii="Arial" w:eastAsia="Helvetica Neue" w:hAnsi="Arial" w:cs="Arial"/>
          <w:b/>
          <w:color w:val="006041"/>
          <w:sz w:val="20"/>
          <w:szCs w:val="20"/>
          <w:u w:val="single"/>
        </w:rPr>
      </w:pPr>
      <w:r>
        <w:rPr>
          <w:rFonts w:ascii="Arial" w:hAnsi="Arial"/>
          <w:b/>
          <w:color w:val="006041"/>
          <w:sz w:val="20"/>
          <w:szCs w:val="20"/>
          <w:u w:val="single"/>
        </w:rPr>
        <w:t>About Bel</w:t>
      </w:r>
    </w:p>
    <w:p w14:paraId="6598EBE9" w14:textId="77777777" w:rsidR="006848E3" w:rsidRPr="00E80D3C" w:rsidRDefault="006848E3" w:rsidP="006848E3">
      <w:pPr>
        <w:jc w:val="both"/>
        <w:rPr>
          <w:rFonts w:ascii="Arial" w:eastAsia="Helvetica Neue" w:hAnsi="Arial" w:cs="Arial"/>
          <w:b/>
          <w:color w:val="000000"/>
          <w:sz w:val="20"/>
          <w:szCs w:val="20"/>
          <w:lang w:val="en-GB"/>
        </w:rPr>
      </w:pPr>
    </w:p>
    <w:p w14:paraId="369F3CA9" w14:textId="1A283086" w:rsidR="006848E3" w:rsidRDefault="006848E3" w:rsidP="006848E3">
      <w:pPr>
        <w:jc w:val="both"/>
        <w:rPr>
          <w:rFonts w:ascii="Arial" w:eastAsia="Helvetica Neue" w:hAnsi="Arial" w:cs="Arial"/>
          <w:color w:val="000000"/>
          <w:sz w:val="20"/>
          <w:szCs w:val="20"/>
        </w:rPr>
      </w:pPr>
      <w:r>
        <w:rPr>
          <w:rFonts w:ascii="Arial" w:hAnsi="Arial"/>
          <w:color w:val="000000"/>
          <w:sz w:val="20"/>
          <w:szCs w:val="20"/>
        </w:rPr>
        <w:t>The Bel Group is a world leader in branded cheese and a major player in the healthy snack market. Its portfolio of differentiated and internationally recognized brands includes The Laughing Cow®, Kiri®, Babybel®, Boursin®, Nurishh®, Pom’Potes®, and GoGo squeeZ®, as well as some 20 local brands. Together, these brands helped the Group generate sales of</w:t>
      </w:r>
      <w:r w:rsidR="003031F9">
        <w:rPr>
          <w:rFonts w:ascii="Arial" w:hAnsi="Arial"/>
          <w:color w:val="000000"/>
          <w:sz w:val="20"/>
          <w:szCs w:val="20"/>
        </w:rPr>
        <w:t xml:space="preserve"> 3.6</w:t>
      </w:r>
      <w:r>
        <w:rPr>
          <w:rFonts w:ascii="Arial" w:hAnsi="Arial"/>
          <w:color w:val="000000"/>
          <w:sz w:val="20"/>
          <w:szCs w:val="20"/>
        </w:rPr>
        <w:t xml:space="preserve"> billion in 2023. </w:t>
      </w:r>
    </w:p>
    <w:p w14:paraId="15E6F245" w14:textId="77777777" w:rsidR="006848E3" w:rsidRPr="00E80D3C" w:rsidRDefault="006848E3" w:rsidP="006848E3">
      <w:pPr>
        <w:jc w:val="both"/>
        <w:rPr>
          <w:rFonts w:ascii="Arial" w:eastAsia="Helvetica Neue" w:hAnsi="Arial" w:cs="Arial"/>
          <w:color w:val="000000"/>
          <w:sz w:val="20"/>
          <w:szCs w:val="20"/>
          <w:lang w:val="en-GB"/>
        </w:rPr>
      </w:pPr>
    </w:p>
    <w:p w14:paraId="57E8F07F" w14:textId="54FE5155" w:rsidR="006848E3" w:rsidRDefault="003031F9" w:rsidP="006848E3">
      <w:pPr>
        <w:jc w:val="both"/>
        <w:rPr>
          <w:rFonts w:ascii="Arial" w:eastAsia="Helvetica Neue" w:hAnsi="Arial" w:cs="Arial"/>
          <w:color w:val="000000"/>
          <w:sz w:val="20"/>
          <w:szCs w:val="20"/>
        </w:rPr>
      </w:pPr>
      <w:r>
        <w:rPr>
          <w:rFonts w:ascii="Arial" w:hAnsi="Arial"/>
          <w:color w:val="000000"/>
          <w:sz w:val="20"/>
          <w:szCs w:val="20"/>
        </w:rPr>
        <w:t>1</w:t>
      </w:r>
      <w:r w:rsidR="00B54084">
        <w:rPr>
          <w:rFonts w:ascii="Arial" w:hAnsi="Arial"/>
          <w:color w:val="000000"/>
          <w:sz w:val="20"/>
          <w:szCs w:val="20"/>
        </w:rPr>
        <w:t>0</w:t>
      </w:r>
      <w:r>
        <w:rPr>
          <w:rFonts w:ascii="Arial" w:hAnsi="Arial"/>
          <w:color w:val="000000"/>
          <w:sz w:val="20"/>
          <w:szCs w:val="20"/>
        </w:rPr>
        <w:t xml:space="preserve">,800 </w:t>
      </w:r>
      <w:r w:rsidR="000E2760">
        <w:rPr>
          <w:rFonts w:ascii="Arial" w:hAnsi="Arial"/>
          <w:color w:val="000000"/>
          <w:sz w:val="20"/>
          <w:szCs w:val="20"/>
        </w:rPr>
        <w:t>employees in some 60 subsidiaries around the world contribute to the achievement of the Group's mission to champion healthier and responsible food for all. Bel products are prepared at</w:t>
      </w:r>
      <w:r>
        <w:rPr>
          <w:rFonts w:ascii="Arial" w:hAnsi="Arial"/>
          <w:color w:val="000000"/>
          <w:sz w:val="20"/>
          <w:szCs w:val="20"/>
        </w:rPr>
        <w:t xml:space="preserve"> 30</w:t>
      </w:r>
      <w:r w:rsidR="000E2760">
        <w:rPr>
          <w:rFonts w:ascii="Arial" w:hAnsi="Arial"/>
          <w:color w:val="000000"/>
          <w:sz w:val="20"/>
          <w:szCs w:val="20"/>
        </w:rPr>
        <w:t xml:space="preserve"> production sites and distributed in around</w:t>
      </w:r>
      <w:r>
        <w:rPr>
          <w:rFonts w:ascii="Arial" w:hAnsi="Arial"/>
          <w:color w:val="000000"/>
          <w:sz w:val="20"/>
          <w:szCs w:val="20"/>
        </w:rPr>
        <w:t xml:space="preserve"> 120</w:t>
      </w:r>
      <w:r w:rsidR="000E2760">
        <w:rPr>
          <w:rFonts w:ascii="Arial" w:hAnsi="Arial"/>
          <w:color w:val="000000"/>
          <w:sz w:val="20"/>
          <w:szCs w:val="20"/>
        </w:rPr>
        <w:t xml:space="preserve"> countries.</w:t>
      </w:r>
    </w:p>
    <w:p w14:paraId="1E5F1127" w14:textId="77777777" w:rsidR="006848E3" w:rsidRPr="00E80D3C" w:rsidRDefault="006848E3" w:rsidP="006848E3">
      <w:pPr>
        <w:jc w:val="both"/>
        <w:rPr>
          <w:rStyle w:val="Lienhypertexte"/>
          <w:rFonts w:ascii="Arial" w:eastAsia="Helvetica Neue" w:hAnsi="Arial" w:cs="Arial"/>
          <w:b/>
          <w:bCs/>
          <w:sz w:val="20"/>
          <w:szCs w:val="20"/>
          <w:lang w:val="en-GB"/>
        </w:rPr>
      </w:pPr>
    </w:p>
    <w:p w14:paraId="4021D6EA" w14:textId="77777777" w:rsidR="006848E3" w:rsidRPr="00196665" w:rsidRDefault="00270459" w:rsidP="006848E3">
      <w:pPr>
        <w:jc w:val="both"/>
        <w:rPr>
          <w:rFonts w:ascii="Arial" w:eastAsia="Helvetica Neue" w:hAnsi="Arial" w:cs="Arial"/>
          <w:b/>
          <w:bCs/>
          <w:color w:val="000000"/>
          <w:sz w:val="20"/>
          <w:szCs w:val="20"/>
        </w:rPr>
      </w:pPr>
      <w:hyperlink r:id="rId12" w:history="1">
        <w:r>
          <w:rPr>
            <w:rStyle w:val="Lienhypertexte"/>
            <w:rFonts w:ascii="Arial" w:hAnsi="Arial"/>
            <w:b/>
            <w:bCs/>
            <w:sz w:val="20"/>
            <w:szCs w:val="20"/>
          </w:rPr>
          <w:t>www.groupe-bel.com</w:t>
        </w:r>
      </w:hyperlink>
      <w:r>
        <w:rPr>
          <w:rFonts w:ascii="Arial" w:hAnsi="Arial"/>
          <w:b/>
          <w:bCs/>
          <w:color w:val="000000"/>
          <w:sz w:val="20"/>
          <w:szCs w:val="20"/>
        </w:rPr>
        <w:t xml:space="preserve"> </w:t>
      </w:r>
    </w:p>
    <w:p w14:paraId="6D3EAF5D" w14:textId="77777777" w:rsidR="006848E3" w:rsidRPr="00E80D3C" w:rsidRDefault="006848E3" w:rsidP="006848E3">
      <w:pPr>
        <w:jc w:val="both"/>
        <w:rPr>
          <w:rFonts w:ascii="Arial" w:eastAsia="Helvetica Neue" w:hAnsi="Arial" w:cs="Arial"/>
          <w:bCs/>
          <w:color w:val="000000"/>
          <w:sz w:val="22"/>
          <w:szCs w:val="22"/>
          <w:lang w:val="en-GB"/>
        </w:rPr>
      </w:pPr>
    </w:p>
    <w:p w14:paraId="73D6CFC8" w14:textId="77777777" w:rsidR="002D7098" w:rsidRPr="00196665" w:rsidRDefault="002D7098" w:rsidP="002D7098">
      <w:pPr>
        <w:jc w:val="both"/>
        <w:rPr>
          <w:rFonts w:ascii="Arial" w:eastAsia="Helvetica Neue" w:hAnsi="Arial" w:cs="Arial"/>
          <w:bCs/>
          <w:color w:val="000000"/>
          <w:sz w:val="22"/>
          <w:szCs w:val="22"/>
        </w:rPr>
      </w:pPr>
      <w:r>
        <w:rPr>
          <w:rFonts w:ascii="Arial" w:hAnsi="Arial"/>
          <w:bCs/>
          <w:color w:val="000000"/>
          <w:sz w:val="22"/>
          <w:szCs w:val="22"/>
        </w:rPr>
        <w:t>------------------</w:t>
      </w:r>
      <w:r>
        <w:rPr>
          <w:rFonts w:ascii="Arial" w:hAnsi="Arial"/>
          <w:bCs/>
          <w:color w:val="000000"/>
          <w:sz w:val="22"/>
          <w:szCs w:val="22"/>
        </w:rPr>
        <w:br/>
      </w:r>
      <w:r>
        <w:rPr>
          <w:rFonts w:ascii="Arial" w:hAnsi="Arial"/>
          <w:b/>
          <w:color w:val="006041"/>
          <w:sz w:val="20"/>
          <w:szCs w:val="20"/>
          <w:u w:val="single"/>
        </w:rPr>
        <w:t>Media Relations</w:t>
      </w:r>
    </w:p>
    <w:p w14:paraId="12EE275E" w14:textId="77777777" w:rsidR="002D7098" w:rsidRPr="00E80D3C" w:rsidRDefault="002D7098" w:rsidP="002D7098">
      <w:pPr>
        <w:jc w:val="both"/>
        <w:rPr>
          <w:rFonts w:ascii="Arial" w:eastAsia="Helvetica Neue" w:hAnsi="Arial" w:cs="Arial"/>
          <w:color w:val="000000"/>
          <w:sz w:val="20"/>
          <w:szCs w:val="20"/>
          <w:lang w:val="fr-FR"/>
        </w:rPr>
      </w:pPr>
      <w:r w:rsidRPr="00E80D3C">
        <w:rPr>
          <w:rFonts w:ascii="Arial" w:hAnsi="Arial"/>
          <w:b/>
          <w:bCs/>
          <w:color w:val="000000"/>
          <w:sz w:val="20"/>
          <w:szCs w:val="20"/>
          <w:lang w:val="fr-FR"/>
        </w:rPr>
        <w:t xml:space="preserve">Havas Paris </w:t>
      </w:r>
      <w:r w:rsidRPr="00E80D3C">
        <w:rPr>
          <w:rFonts w:ascii="Arial" w:hAnsi="Arial"/>
          <w:color w:val="000000"/>
          <w:sz w:val="20"/>
          <w:szCs w:val="20"/>
          <w:lang w:val="fr-FR"/>
        </w:rPr>
        <w:t>– Mael Evin</w:t>
      </w:r>
    </w:p>
    <w:p w14:paraId="5568F06D" w14:textId="04D968F9" w:rsidR="002D7098" w:rsidRPr="00E80D3C" w:rsidRDefault="00270459" w:rsidP="002D7098">
      <w:pPr>
        <w:jc w:val="both"/>
        <w:rPr>
          <w:rFonts w:ascii="Arial" w:eastAsia="Helvetica Neue" w:hAnsi="Arial" w:cs="Arial"/>
          <w:color w:val="000000"/>
          <w:sz w:val="20"/>
          <w:szCs w:val="20"/>
          <w:lang w:val="fr-FR"/>
        </w:rPr>
      </w:pPr>
      <w:hyperlink r:id="rId13" w:history="1">
        <w:r w:rsidRPr="00E80D3C">
          <w:rPr>
            <w:rStyle w:val="Lienhypertexte"/>
            <w:rFonts w:ascii="Arial" w:hAnsi="Arial"/>
            <w:sz w:val="20"/>
            <w:szCs w:val="20"/>
            <w:lang w:val="fr-FR"/>
          </w:rPr>
          <w:t>mael.evin@havas.com</w:t>
        </w:r>
      </w:hyperlink>
      <w:r w:rsidRPr="00E80D3C">
        <w:rPr>
          <w:rFonts w:ascii="Arial" w:hAnsi="Arial"/>
          <w:color w:val="000000"/>
          <w:sz w:val="20"/>
          <w:szCs w:val="20"/>
          <w:lang w:val="fr-FR"/>
        </w:rPr>
        <w:t xml:space="preserve"> +33 (0)6 44 12 14 91</w:t>
      </w:r>
    </w:p>
    <w:p w14:paraId="35DC770A" w14:textId="77777777" w:rsidR="002D7098" w:rsidRDefault="002D7098" w:rsidP="002D7098">
      <w:pPr>
        <w:jc w:val="both"/>
        <w:rPr>
          <w:rFonts w:ascii="Arial" w:hAnsi="Arial" w:cs="Arial"/>
          <w:sz w:val="20"/>
          <w:szCs w:val="20"/>
          <w:lang w:val="fr-FR"/>
        </w:rPr>
      </w:pPr>
    </w:p>
    <w:p w14:paraId="65CF949F" w14:textId="77777777" w:rsidR="002D7098" w:rsidRPr="00E80D3C" w:rsidRDefault="002D7098" w:rsidP="002D7098">
      <w:pPr>
        <w:jc w:val="both"/>
        <w:rPr>
          <w:rFonts w:ascii="Arial" w:eastAsia="Helvetica Neue" w:hAnsi="Arial" w:cs="Arial"/>
          <w:color w:val="000000"/>
          <w:sz w:val="20"/>
          <w:szCs w:val="20"/>
          <w:lang w:val="fr-FR"/>
        </w:rPr>
      </w:pPr>
      <w:r w:rsidRPr="00E80D3C">
        <w:rPr>
          <w:rFonts w:ascii="Arial" w:hAnsi="Arial"/>
          <w:b/>
          <w:bCs/>
          <w:color w:val="000000"/>
          <w:sz w:val="20"/>
          <w:szCs w:val="20"/>
          <w:lang w:val="fr-FR"/>
        </w:rPr>
        <w:t xml:space="preserve">Havas Paris </w:t>
      </w:r>
      <w:r w:rsidRPr="00E80D3C">
        <w:rPr>
          <w:rFonts w:ascii="Arial" w:hAnsi="Arial"/>
          <w:color w:val="000000"/>
          <w:sz w:val="20"/>
          <w:szCs w:val="20"/>
          <w:lang w:val="fr-FR"/>
        </w:rPr>
        <w:t>– Louis Tilquin</w:t>
      </w:r>
    </w:p>
    <w:p w14:paraId="6785775E" w14:textId="77777777" w:rsidR="002D7098" w:rsidRDefault="00270459" w:rsidP="002D7098">
      <w:pPr>
        <w:jc w:val="both"/>
        <w:rPr>
          <w:rFonts w:ascii="Arial" w:eastAsia="Helvetica Neue" w:hAnsi="Arial" w:cs="Arial"/>
          <w:color w:val="000000"/>
          <w:sz w:val="20"/>
          <w:szCs w:val="20"/>
        </w:rPr>
      </w:pPr>
      <w:hyperlink r:id="rId14">
        <w:r w:rsidR="002D7098">
          <w:rPr>
            <w:rStyle w:val="Lienhypertexte"/>
            <w:rFonts w:ascii="Arial" w:hAnsi="Arial"/>
            <w:sz w:val="20"/>
            <w:szCs w:val="20"/>
          </w:rPr>
          <w:t>louis.tilquin@havas.com</w:t>
        </w:r>
      </w:hyperlink>
      <w:r w:rsidR="002D7098">
        <w:rPr>
          <w:rFonts w:ascii="Arial" w:hAnsi="Arial"/>
          <w:color w:val="000000" w:themeColor="text1"/>
          <w:sz w:val="20"/>
          <w:szCs w:val="20"/>
        </w:rPr>
        <w:t xml:space="preserve"> +33 (0)6 02 15 67 69</w:t>
      </w:r>
    </w:p>
    <w:p w14:paraId="064148AA" w14:textId="77777777" w:rsidR="002D7098" w:rsidRPr="00196665" w:rsidRDefault="002D7098" w:rsidP="002D7098">
      <w:pPr>
        <w:jc w:val="both"/>
        <w:rPr>
          <w:rFonts w:ascii="Arial" w:hAnsi="Arial" w:cs="Arial"/>
          <w:sz w:val="20"/>
          <w:szCs w:val="20"/>
          <w:lang w:val="fr-FR"/>
        </w:rPr>
      </w:pPr>
    </w:p>
    <w:p w14:paraId="0F8C65F0" w14:textId="4FE3FB90" w:rsidR="00804281" w:rsidRPr="00196665" w:rsidRDefault="00804281" w:rsidP="002D7098">
      <w:pPr>
        <w:jc w:val="both"/>
        <w:rPr>
          <w:rFonts w:ascii="Arial" w:hAnsi="Arial" w:cs="Arial"/>
          <w:sz w:val="20"/>
          <w:szCs w:val="20"/>
          <w:lang w:val="fr-FR"/>
        </w:rPr>
      </w:pPr>
    </w:p>
    <w:sectPr w:rsidR="00804281" w:rsidRPr="00196665" w:rsidSect="00A71F5B">
      <w:headerReference w:type="default" r:id="rId15"/>
      <w:footerReference w:type="even" r:id="rId16"/>
      <w:footerReference w:type="first" r:id="rId17"/>
      <w:pgSz w:w="12240" w:h="15840"/>
      <w:pgMar w:top="437" w:right="1440" w:bottom="924" w:left="1440" w:header="44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789E" w14:textId="77777777" w:rsidR="00A71F5B" w:rsidRDefault="00A71F5B">
      <w:r>
        <w:separator/>
      </w:r>
    </w:p>
  </w:endnote>
  <w:endnote w:type="continuationSeparator" w:id="0">
    <w:p w14:paraId="7D39868A" w14:textId="77777777" w:rsidR="00A71F5B" w:rsidRDefault="00A71F5B">
      <w:r>
        <w:continuationSeparator/>
      </w:r>
    </w:p>
  </w:endnote>
  <w:endnote w:type="continuationNotice" w:id="1">
    <w:p w14:paraId="36AA4A60" w14:textId="77777777" w:rsidR="00A71F5B" w:rsidRDefault="00A71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FFE3" w14:textId="6CD4C5DD" w:rsidR="00420F4E" w:rsidRDefault="00420F4E">
    <w:pPr>
      <w:pStyle w:val="Pieddepage"/>
    </w:pPr>
    <w:r>
      <w:rPr>
        <w:noProof/>
      </w:rPr>
      <mc:AlternateContent>
        <mc:Choice Requires="wps">
          <w:drawing>
            <wp:anchor distT="0" distB="0" distL="0" distR="0" simplePos="0" relativeHeight="251659264" behindDoc="0" locked="0" layoutInCell="1" allowOverlap="1" wp14:anchorId="39B79E68" wp14:editId="5DA7E048">
              <wp:simplePos x="635" y="635"/>
              <wp:positionH relativeFrom="page">
                <wp:align>center</wp:align>
              </wp:positionH>
              <wp:positionV relativeFrom="page">
                <wp:align>bottom</wp:align>
              </wp:positionV>
              <wp:extent cx="443865" cy="443865"/>
              <wp:effectExtent l="0" t="0" r="7620" b="0"/>
              <wp:wrapNone/>
              <wp:docPr id="2" name="Zone de texte 2"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34CB3" w14:textId="29125EE6" w:rsidR="00420F4E" w:rsidRPr="00420F4E" w:rsidRDefault="00420F4E" w:rsidP="00420F4E">
                          <w:pPr>
                            <w:rPr>
                              <w:noProof/>
                              <w:color w:val="0000FF"/>
                              <w:sz w:val="22"/>
                              <w:szCs w:val="22"/>
                            </w:rPr>
                          </w:pPr>
                          <w:r>
                            <w:rPr>
                              <w:color w:val="0000FF"/>
                              <w:sz w:val="22"/>
                              <w:szCs w:val="22"/>
                            </w:rPr>
                            <w:t>C2 -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79E68" id="_x0000_t202" coordsize="21600,21600" o:spt="202" path="m,l,21600r21600,l21600,xe">
              <v:stroke joinstyle="miter"/>
              <v:path gradientshapeok="t" o:connecttype="rect"/>
            </v:shapetype>
            <v:shape id="Zone de texte 2" o:spid="_x0000_s1026" type="#_x0000_t202" alt="C2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334CB3" w14:textId="29125EE6" w:rsidR="00420F4E" w:rsidRPr="00420F4E" w:rsidRDefault="00420F4E" w:rsidP="00420F4E">
                    <w:pPr>
                      <w:rPr>
                        <w:noProof/>
                        <w:color w:val="0000FF"/>
                        <w:sz w:val="22"/>
                        <w:szCs w:val="22"/>
                      </w:rPr>
                    </w:pPr>
                    <w:r>
                      <w:rPr>
                        <w:color w:val="0000FF"/>
                        <w:sz w:val="22"/>
                        <w:szCs w:val="22"/>
                      </w:rPr>
                      <w:t>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B447" w14:textId="61C31841" w:rsidR="00420F4E" w:rsidRDefault="00420F4E">
    <w:pPr>
      <w:pStyle w:val="Pieddepage"/>
    </w:pPr>
    <w:r>
      <w:rPr>
        <w:noProof/>
      </w:rPr>
      <mc:AlternateContent>
        <mc:Choice Requires="wps">
          <w:drawing>
            <wp:anchor distT="0" distB="0" distL="0" distR="0" simplePos="0" relativeHeight="251658240" behindDoc="0" locked="0" layoutInCell="1" allowOverlap="1" wp14:anchorId="14865DE8" wp14:editId="03478F17">
              <wp:simplePos x="635" y="635"/>
              <wp:positionH relativeFrom="page">
                <wp:align>center</wp:align>
              </wp:positionH>
              <wp:positionV relativeFrom="page">
                <wp:align>bottom</wp:align>
              </wp:positionV>
              <wp:extent cx="443865" cy="443865"/>
              <wp:effectExtent l="0" t="0" r="7620" b="0"/>
              <wp:wrapNone/>
              <wp:docPr id="1" name="Zone de texte 1"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FEE45" w14:textId="21A494A0" w:rsidR="00420F4E" w:rsidRPr="00420F4E" w:rsidRDefault="00420F4E" w:rsidP="00420F4E">
                          <w:pPr>
                            <w:rPr>
                              <w:noProof/>
                              <w:color w:val="0000FF"/>
                              <w:sz w:val="22"/>
                              <w:szCs w:val="22"/>
                            </w:rPr>
                          </w:pPr>
                          <w:r>
                            <w:rPr>
                              <w:color w:val="0000FF"/>
                              <w:sz w:val="22"/>
                              <w:szCs w:val="22"/>
                            </w:rPr>
                            <w:t>C2 -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65DE8" id="_x0000_t202" coordsize="21600,21600" o:spt="202" path="m,l,21600r21600,l21600,xe">
              <v:stroke joinstyle="miter"/>
              <v:path gradientshapeok="t" o:connecttype="rect"/>
            </v:shapetype>
            <v:shape id="Zone de texte 1" o:spid="_x0000_s1027" type="#_x0000_t202" alt="C2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3FEE45" w14:textId="21A494A0" w:rsidR="00420F4E" w:rsidRPr="00420F4E" w:rsidRDefault="00420F4E" w:rsidP="00420F4E">
                    <w:pPr>
                      <w:rPr>
                        <w:noProof/>
                        <w:color w:val="0000FF"/>
                        <w:sz w:val="22"/>
                        <w:szCs w:val="22"/>
                      </w:rPr>
                    </w:pPr>
                    <w:r>
                      <w:rPr>
                        <w:color w:val="0000FF"/>
                        <w:sz w:val="22"/>
                        <w:szCs w:val="22"/>
                      </w:rPr>
                      <w:t>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93A2" w14:textId="77777777" w:rsidR="00A71F5B" w:rsidRDefault="00A71F5B">
      <w:r>
        <w:separator/>
      </w:r>
    </w:p>
  </w:footnote>
  <w:footnote w:type="continuationSeparator" w:id="0">
    <w:p w14:paraId="2E076402" w14:textId="77777777" w:rsidR="00A71F5B" w:rsidRDefault="00A71F5B">
      <w:r>
        <w:continuationSeparator/>
      </w:r>
    </w:p>
  </w:footnote>
  <w:footnote w:type="continuationNotice" w:id="1">
    <w:p w14:paraId="164EA870" w14:textId="77777777" w:rsidR="00A71F5B" w:rsidRDefault="00A71F5B"/>
  </w:footnote>
  <w:footnote w:id="2">
    <w:p w14:paraId="720C2949" w14:textId="3CCAFD9E" w:rsidR="00BA323C" w:rsidRPr="002760DA" w:rsidRDefault="00BA323C" w:rsidP="00BA323C">
      <w:pPr>
        <w:jc w:val="both"/>
        <w:rPr>
          <w:rFonts w:ascii="Arial" w:eastAsia="Helvetica Neue" w:hAnsi="Arial" w:cs="Arial"/>
          <w:bCs/>
          <w:i/>
          <w:iCs/>
          <w:color w:val="000000"/>
          <w:sz w:val="15"/>
          <w:szCs w:val="15"/>
        </w:rPr>
      </w:pPr>
      <w:r>
        <w:rPr>
          <w:rStyle w:val="Appelnotedebasdep"/>
          <w:sz w:val="20"/>
          <w:szCs w:val="20"/>
        </w:rPr>
        <w:footnoteRef/>
      </w:r>
      <w:r>
        <w:rPr>
          <w:rStyle w:val="Appelnotedebasdep"/>
          <w:sz w:val="20"/>
          <w:szCs w:val="20"/>
        </w:rPr>
        <w:t xml:space="preserve"> </w:t>
      </w:r>
      <w:r>
        <w:rPr>
          <w:rFonts w:ascii="Arial" w:hAnsi="Arial"/>
          <w:bCs/>
          <w:i/>
          <w:iCs/>
          <w:color w:val="000000"/>
          <w:sz w:val="15"/>
          <w:szCs w:val="15"/>
        </w:rPr>
        <w:t>Figure adjusted for currency effects, changes in the scope of consolidation and hyperinflation in Iran and Turkey. Changes in the scope of consolidation relate to the sale of Bel’s stake in Moroccan company Safilait and the acquisition of a stake in Shandong Junjun Cheese.</w:t>
      </w:r>
    </w:p>
  </w:footnote>
  <w:footnote w:id="3">
    <w:p w14:paraId="6231827D" w14:textId="79676130" w:rsidR="00BC5424" w:rsidRPr="005614D6" w:rsidRDefault="00BC5424" w:rsidP="00BC5424">
      <w:pPr>
        <w:pStyle w:val="Notedebasdepage"/>
        <w:jc w:val="both"/>
        <w:rPr>
          <w:rFonts w:ascii="Arial" w:hAnsi="Arial" w:cs="Arial"/>
          <w:sz w:val="18"/>
          <w:szCs w:val="18"/>
        </w:rPr>
      </w:pPr>
      <w:r>
        <w:rPr>
          <w:rStyle w:val="Appelnotedebasdep"/>
        </w:rPr>
        <w:footnoteRef/>
      </w:r>
      <w:r>
        <w:rPr>
          <w:sz w:val="15"/>
          <w:szCs w:val="15"/>
        </w:rPr>
        <w:t xml:space="preserve"> </w:t>
      </w:r>
      <w:r>
        <w:rPr>
          <w:rFonts w:ascii="Arial" w:hAnsi="Arial"/>
          <w:i/>
          <w:color w:val="000000"/>
          <w:sz w:val="15"/>
          <w:szCs w:val="15"/>
        </w:rPr>
        <w:t xml:space="preserve">The fruit segment includes the results of the Pom’Potes®, GoGo squeeZ®, Materne and Mont-Blanc brands. </w:t>
      </w:r>
    </w:p>
    <w:p w14:paraId="3BDAEC12" w14:textId="2067D758" w:rsidR="00BC5424" w:rsidRPr="00E80D3C" w:rsidRDefault="00BC5424">
      <w:pPr>
        <w:pStyle w:val="Notedebasdepage"/>
        <w:rPr>
          <w:lang w:val="en-GB"/>
        </w:rPr>
      </w:pPr>
    </w:p>
  </w:footnote>
  <w:footnote w:id="4">
    <w:p w14:paraId="26580A7A" w14:textId="40B7B2BC" w:rsidR="000E2760" w:rsidRPr="00F41115" w:rsidRDefault="000E2760" w:rsidP="000E2760">
      <w:pPr>
        <w:pStyle w:val="Notedebasdepage"/>
        <w:rPr>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46"/>
    </w:tblGrid>
    <w:tr w:rsidR="00196665" w14:paraId="1FB4DAAF" w14:textId="77777777" w:rsidTr="00DC2468">
      <w:trPr>
        <w:trHeight w:val="1000"/>
      </w:trPr>
      <w:tc>
        <w:tcPr>
          <w:tcW w:w="3256" w:type="dxa"/>
        </w:tcPr>
        <w:p w14:paraId="11F2FD0E" w14:textId="77777777" w:rsidR="00196665" w:rsidRPr="00D02F9F" w:rsidRDefault="00196665" w:rsidP="00196665">
          <w:pPr>
            <w:pStyle w:val="Titre"/>
            <w:spacing w:before="120" w:after="240"/>
            <w:jc w:val="both"/>
            <w:rPr>
              <w:rFonts w:ascii="Arial" w:hAnsi="Arial" w:cs="Arial"/>
              <w:noProof/>
              <w:color w:val="005640"/>
              <w:sz w:val="28"/>
            </w:rPr>
          </w:pPr>
          <w:r>
            <w:rPr>
              <w:rFonts w:ascii="Arial" w:hAnsi="Arial"/>
              <w:noProof/>
              <w:color w:val="005640"/>
              <w:sz w:val="28"/>
            </w:rPr>
            <w:drawing>
              <wp:inline distT="0" distB="0" distL="0" distR="0" wp14:anchorId="78362A36" wp14:editId="50FE5420">
                <wp:extent cx="654867" cy="666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507_LOGOS_BEL-02.png"/>
                        <pic:cNvPicPr/>
                      </pic:nvPicPr>
                      <pic:blipFill>
                        <a:blip r:embed="rId1">
                          <a:extLst>
                            <a:ext uri="{28A0092B-C50C-407E-A947-70E740481C1C}">
                              <a14:useLocalDpi xmlns:a14="http://schemas.microsoft.com/office/drawing/2010/main" val="0"/>
                            </a:ext>
                          </a:extLst>
                        </a:blip>
                        <a:stretch>
                          <a:fillRect/>
                        </a:stretch>
                      </pic:blipFill>
                      <pic:spPr>
                        <a:xfrm>
                          <a:off x="0" y="0"/>
                          <a:ext cx="658011" cy="669951"/>
                        </a:xfrm>
                        <a:prstGeom prst="rect">
                          <a:avLst/>
                        </a:prstGeom>
                      </pic:spPr>
                    </pic:pic>
                  </a:graphicData>
                </a:graphic>
              </wp:inline>
            </w:drawing>
          </w:r>
          <w:r>
            <w:rPr>
              <w:rFonts w:ascii="Arial" w:hAnsi="Arial"/>
              <w:szCs w:val="18"/>
            </w:rPr>
            <w:tab/>
          </w:r>
        </w:p>
      </w:tc>
      <w:tc>
        <w:tcPr>
          <w:tcW w:w="5946" w:type="dxa"/>
        </w:tcPr>
        <w:p w14:paraId="31E2AAC6" w14:textId="77777777" w:rsidR="00196665" w:rsidRPr="00D02F9F" w:rsidRDefault="00196665" w:rsidP="00196665">
          <w:pPr>
            <w:pStyle w:val="En-tte"/>
            <w:tabs>
              <w:tab w:val="center" w:pos="0"/>
            </w:tabs>
            <w:spacing w:before="240" w:after="240"/>
            <w:jc w:val="right"/>
            <w:rPr>
              <w:rFonts w:ascii="Arial" w:hAnsi="Arial" w:cs="Arial"/>
              <w:b/>
              <w:bCs/>
              <w:color w:val="005640"/>
              <w:sz w:val="4"/>
              <w:szCs w:val="44"/>
            </w:rPr>
          </w:pPr>
        </w:p>
        <w:p w14:paraId="5FBE399B" w14:textId="77777777" w:rsidR="00196665" w:rsidRDefault="00196665" w:rsidP="00196665">
          <w:pPr>
            <w:pStyle w:val="En-tte"/>
            <w:tabs>
              <w:tab w:val="center" w:pos="0"/>
            </w:tabs>
            <w:spacing w:before="240" w:after="240"/>
            <w:jc w:val="right"/>
            <w:rPr>
              <w:b/>
              <w:bCs/>
              <w:sz w:val="20"/>
              <w:szCs w:val="20"/>
            </w:rPr>
          </w:pPr>
          <w:r>
            <w:rPr>
              <w:rFonts w:ascii="Arial" w:hAnsi="Arial"/>
              <w:b/>
              <w:bCs/>
              <w:color w:val="005640"/>
              <w:sz w:val="44"/>
              <w:szCs w:val="44"/>
            </w:rPr>
            <w:t>Press release</w:t>
          </w:r>
        </w:p>
      </w:tc>
    </w:tr>
  </w:tbl>
  <w:p w14:paraId="11B40A56" w14:textId="77777777" w:rsidR="006E7A93" w:rsidRDefault="006E7A93">
    <w:pPr>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566"/>
    <w:multiLevelType w:val="hybridMultilevel"/>
    <w:tmpl w:val="0CF8C764"/>
    <w:lvl w:ilvl="0" w:tplc="D0C0E6F0">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76D2E"/>
    <w:multiLevelType w:val="hybridMultilevel"/>
    <w:tmpl w:val="B07AC4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33004"/>
    <w:multiLevelType w:val="hybridMultilevel"/>
    <w:tmpl w:val="A37EA0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C8463D"/>
    <w:multiLevelType w:val="hybridMultilevel"/>
    <w:tmpl w:val="FA321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F702A"/>
    <w:multiLevelType w:val="hybridMultilevel"/>
    <w:tmpl w:val="77C89560"/>
    <w:lvl w:ilvl="0" w:tplc="2014288A">
      <w:start w:val="1"/>
      <w:numFmt w:val="bullet"/>
      <w:lvlText w:val="•"/>
      <w:lvlJc w:val="left"/>
      <w:pPr>
        <w:tabs>
          <w:tab w:val="num" w:pos="720"/>
        </w:tabs>
        <w:ind w:left="720" w:hanging="360"/>
      </w:pPr>
      <w:rPr>
        <w:rFonts w:ascii="Arial" w:hAnsi="Arial" w:hint="default"/>
      </w:rPr>
    </w:lvl>
    <w:lvl w:ilvl="1" w:tplc="85DCBF7A" w:tentative="1">
      <w:start w:val="1"/>
      <w:numFmt w:val="bullet"/>
      <w:lvlText w:val="•"/>
      <w:lvlJc w:val="left"/>
      <w:pPr>
        <w:tabs>
          <w:tab w:val="num" w:pos="1440"/>
        </w:tabs>
        <w:ind w:left="1440" w:hanging="360"/>
      </w:pPr>
      <w:rPr>
        <w:rFonts w:ascii="Arial" w:hAnsi="Arial" w:hint="default"/>
      </w:rPr>
    </w:lvl>
    <w:lvl w:ilvl="2" w:tplc="431A9562" w:tentative="1">
      <w:start w:val="1"/>
      <w:numFmt w:val="bullet"/>
      <w:lvlText w:val="•"/>
      <w:lvlJc w:val="left"/>
      <w:pPr>
        <w:tabs>
          <w:tab w:val="num" w:pos="2160"/>
        </w:tabs>
        <w:ind w:left="2160" w:hanging="360"/>
      </w:pPr>
      <w:rPr>
        <w:rFonts w:ascii="Arial" w:hAnsi="Arial" w:hint="default"/>
      </w:rPr>
    </w:lvl>
    <w:lvl w:ilvl="3" w:tplc="46BC2D2A" w:tentative="1">
      <w:start w:val="1"/>
      <w:numFmt w:val="bullet"/>
      <w:lvlText w:val="•"/>
      <w:lvlJc w:val="left"/>
      <w:pPr>
        <w:tabs>
          <w:tab w:val="num" w:pos="2880"/>
        </w:tabs>
        <w:ind w:left="2880" w:hanging="360"/>
      </w:pPr>
      <w:rPr>
        <w:rFonts w:ascii="Arial" w:hAnsi="Arial" w:hint="default"/>
      </w:rPr>
    </w:lvl>
    <w:lvl w:ilvl="4" w:tplc="32126C80" w:tentative="1">
      <w:start w:val="1"/>
      <w:numFmt w:val="bullet"/>
      <w:lvlText w:val="•"/>
      <w:lvlJc w:val="left"/>
      <w:pPr>
        <w:tabs>
          <w:tab w:val="num" w:pos="3600"/>
        </w:tabs>
        <w:ind w:left="3600" w:hanging="360"/>
      </w:pPr>
      <w:rPr>
        <w:rFonts w:ascii="Arial" w:hAnsi="Arial" w:hint="default"/>
      </w:rPr>
    </w:lvl>
    <w:lvl w:ilvl="5" w:tplc="C46CF23C" w:tentative="1">
      <w:start w:val="1"/>
      <w:numFmt w:val="bullet"/>
      <w:lvlText w:val="•"/>
      <w:lvlJc w:val="left"/>
      <w:pPr>
        <w:tabs>
          <w:tab w:val="num" w:pos="4320"/>
        </w:tabs>
        <w:ind w:left="4320" w:hanging="360"/>
      </w:pPr>
      <w:rPr>
        <w:rFonts w:ascii="Arial" w:hAnsi="Arial" w:hint="default"/>
      </w:rPr>
    </w:lvl>
    <w:lvl w:ilvl="6" w:tplc="8196C8A0" w:tentative="1">
      <w:start w:val="1"/>
      <w:numFmt w:val="bullet"/>
      <w:lvlText w:val="•"/>
      <w:lvlJc w:val="left"/>
      <w:pPr>
        <w:tabs>
          <w:tab w:val="num" w:pos="5040"/>
        </w:tabs>
        <w:ind w:left="5040" w:hanging="360"/>
      </w:pPr>
      <w:rPr>
        <w:rFonts w:ascii="Arial" w:hAnsi="Arial" w:hint="default"/>
      </w:rPr>
    </w:lvl>
    <w:lvl w:ilvl="7" w:tplc="5B6CC430" w:tentative="1">
      <w:start w:val="1"/>
      <w:numFmt w:val="bullet"/>
      <w:lvlText w:val="•"/>
      <w:lvlJc w:val="left"/>
      <w:pPr>
        <w:tabs>
          <w:tab w:val="num" w:pos="5760"/>
        </w:tabs>
        <w:ind w:left="5760" w:hanging="360"/>
      </w:pPr>
      <w:rPr>
        <w:rFonts w:ascii="Arial" w:hAnsi="Arial" w:hint="default"/>
      </w:rPr>
    </w:lvl>
    <w:lvl w:ilvl="8" w:tplc="D91236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1D2E6C"/>
    <w:multiLevelType w:val="multilevel"/>
    <w:tmpl w:val="335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A3094"/>
    <w:multiLevelType w:val="hybridMultilevel"/>
    <w:tmpl w:val="A6022406"/>
    <w:lvl w:ilvl="0" w:tplc="6D2A8362">
      <w:start w:val="1"/>
      <w:numFmt w:val="bullet"/>
      <w:lvlText w:val="o"/>
      <w:lvlJc w:val="left"/>
      <w:pPr>
        <w:tabs>
          <w:tab w:val="num" w:pos="720"/>
        </w:tabs>
        <w:ind w:left="720" w:hanging="360"/>
      </w:pPr>
      <w:rPr>
        <w:rFonts w:ascii="Courier New" w:hAnsi="Courier New" w:hint="default"/>
      </w:rPr>
    </w:lvl>
    <w:lvl w:ilvl="1" w:tplc="EB746F68">
      <w:start w:val="1"/>
      <w:numFmt w:val="bullet"/>
      <w:lvlText w:val="o"/>
      <w:lvlJc w:val="left"/>
      <w:pPr>
        <w:tabs>
          <w:tab w:val="num" w:pos="1440"/>
        </w:tabs>
        <w:ind w:left="1440" w:hanging="360"/>
      </w:pPr>
      <w:rPr>
        <w:rFonts w:ascii="Courier New" w:hAnsi="Courier New" w:hint="default"/>
      </w:rPr>
    </w:lvl>
    <w:lvl w:ilvl="2" w:tplc="5E2E5FE6" w:tentative="1">
      <w:start w:val="1"/>
      <w:numFmt w:val="bullet"/>
      <w:lvlText w:val="o"/>
      <w:lvlJc w:val="left"/>
      <w:pPr>
        <w:tabs>
          <w:tab w:val="num" w:pos="2160"/>
        </w:tabs>
        <w:ind w:left="2160" w:hanging="360"/>
      </w:pPr>
      <w:rPr>
        <w:rFonts w:ascii="Courier New" w:hAnsi="Courier New" w:hint="default"/>
      </w:rPr>
    </w:lvl>
    <w:lvl w:ilvl="3" w:tplc="88D6EAD2" w:tentative="1">
      <w:start w:val="1"/>
      <w:numFmt w:val="bullet"/>
      <w:lvlText w:val="o"/>
      <w:lvlJc w:val="left"/>
      <w:pPr>
        <w:tabs>
          <w:tab w:val="num" w:pos="2880"/>
        </w:tabs>
        <w:ind w:left="2880" w:hanging="360"/>
      </w:pPr>
      <w:rPr>
        <w:rFonts w:ascii="Courier New" w:hAnsi="Courier New" w:hint="default"/>
      </w:rPr>
    </w:lvl>
    <w:lvl w:ilvl="4" w:tplc="FB569612" w:tentative="1">
      <w:start w:val="1"/>
      <w:numFmt w:val="bullet"/>
      <w:lvlText w:val="o"/>
      <w:lvlJc w:val="left"/>
      <w:pPr>
        <w:tabs>
          <w:tab w:val="num" w:pos="3600"/>
        </w:tabs>
        <w:ind w:left="3600" w:hanging="360"/>
      </w:pPr>
      <w:rPr>
        <w:rFonts w:ascii="Courier New" w:hAnsi="Courier New" w:hint="default"/>
      </w:rPr>
    </w:lvl>
    <w:lvl w:ilvl="5" w:tplc="BE369DCE" w:tentative="1">
      <w:start w:val="1"/>
      <w:numFmt w:val="bullet"/>
      <w:lvlText w:val="o"/>
      <w:lvlJc w:val="left"/>
      <w:pPr>
        <w:tabs>
          <w:tab w:val="num" w:pos="4320"/>
        </w:tabs>
        <w:ind w:left="4320" w:hanging="360"/>
      </w:pPr>
      <w:rPr>
        <w:rFonts w:ascii="Courier New" w:hAnsi="Courier New" w:hint="default"/>
      </w:rPr>
    </w:lvl>
    <w:lvl w:ilvl="6" w:tplc="6BC83D8E" w:tentative="1">
      <w:start w:val="1"/>
      <w:numFmt w:val="bullet"/>
      <w:lvlText w:val="o"/>
      <w:lvlJc w:val="left"/>
      <w:pPr>
        <w:tabs>
          <w:tab w:val="num" w:pos="5040"/>
        </w:tabs>
        <w:ind w:left="5040" w:hanging="360"/>
      </w:pPr>
      <w:rPr>
        <w:rFonts w:ascii="Courier New" w:hAnsi="Courier New" w:hint="default"/>
      </w:rPr>
    </w:lvl>
    <w:lvl w:ilvl="7" w:tplc="044C59DC" w:tentative="1">
      <w:start w:val="1"/>
      <w:numFmt w:val="bullet"/>
      <w:lvlText w:val="o"/>
      <w:lvlJc w:val="left"/>
      <w:pPr>
        <w:tabs>
          <w:tab w:val="num" w:pos="5760"/>
        </w:tabs>
        <w:ind w:left="5760" w:hanging="360"/>
      </w:pPr>
      <w:rPr>
        <w:rFonts w:ascii="Courier New" w:hAnsi="Courier New" w:hint="default"/>
      </w:rPr>
    </w:lvl>
    <w:lvl w:ilvl="8" w:tplc="E4C01D9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ABA2BC7"/>
    <w:multiLevelType w:val="hybridMultilevel"/>
    <w:tmpl w:val="DB0CFC3A"/>
    <w:lvl w:ilvl="0" w:tplc="1EA4FC10">
      <w:start w:val="1"/>
      <w:numFmt w:val="bullet"/>
      <w:lvlText w:val=""/>
      <w:lvlJc w:val="left"/>
      <w:pPr>
        <w:ind w:left="360" w:hanging="360"/>
      </w:pPr>
      <w:rPr>
        <w:rFonts w:ascii="Symbol" w:hAnsi="Symbol" w:hint="default"/>
        <w:sz w:val="20"/>
      </w:rPr>
    </w:lvl>
    <w:lvl w:ilvl="1" w:tplc="E59400D0">
      <w:start w:val="1"/>
      <w:numFmt w:val="bullet"/>
      <w:lvlText w:val=""/>
      <w:lvlJc w:val="left"/>
      <w:pPr>
        <w:ind w:left="1080" w:hanging="360"/>
      </w:pPr>
      <w:rPr>
        <w:rFonts w:ascii="Wingdings" w:hAnsi="Wingdings" w:hint="default"/>
        <w:u w:color="000000" w:themeColor="text1"/>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01624D"/>
    <w:multiLevelType w:val="hybridMultilevel"/>
    <w:tmpl w:val="ECD8B722"/>
    <w:lvl w:ilvl="0" w:tplc="322C2940">
      <w:start w:val="1"/>
      <w:numFmt w:val="bullet"/>
      <w:lvlText w:val="•"/>
      <w:lvlJc w:val="left"/>
      <w:pPr>
        <w:tabs>
          <w:tab w:val="num" w:pos="720"/>
        </w:tabs>
        <w:ind w:left="720" w:hanging="360"/>
      </w:pPr>
      <w:rPr>
        <w:rFonts w:ascii="Arial" w:hAnsi="Arial" w:hint="default"/>
      </w:rPr>
    </w:lvl>
    <w:lvl w:ilvl="1" w:tplc="004490BC" w:tentative="1">
      <w:start w:val="1"/>
      <w:numFmt w:val="bullet"/>
      <w:lvlText w:val="•"/>
      <w:lvlJc w:val="left"/>
      <w:pPr>
        <w:tabs>
          <w:tab w:val="num" w:pos="1440"/>
        </w:tabs>
        <w:ind w:left="1440" w:hanging="360"/>
      </w:pPr>
      <w:rPr>
        <w:rFonts w:ascii="Arial" w:hAnsi="Arial" w:hint="default"/>
      </w:rPr>
    </w:lvl>
    <w:lvl w:ilvl="2" w:tplc="F12AA0CE" w:tentative="1">
      <w:start w:val="1"/>
      <w:numFmt w:val="bullet"/>
      <w:lvlText w:val="•"/>
      <w:lvlJc w:val="left"/>
      <w:pPr>
        <w:tabs>
          <w:tab w:val="num" w:pos="2160"/>
        </w:tabs>
        <w:ind w:left="2160" w:hanging="360"/>
      </w:pPr>
      <w:rPr>
        <w:rFonts w:ascii="Arial" w:hAnsi="Arial" w:hint="default"/>
      </w:rPr>
    </w:lvl>
    <w:lvl w:ilvl="3" w:tplc="7FFC6AB2" w:tentative="1">
      <w:start w:val="1"/>
      <w:numFmt w:val="bullet"/>
      <w:lvlText w:val="•"/>
      <w:lvlJc w:val="left"/>
      <w:pPr>
        <w:tabs>
          <w:tab w:val="num" w:pos="2880"/>
        </w:tabs>
        <w:ind w:left="2880" w:hanging="360"/>
      </w:pPr>
      <w:rPr>
        <w:rFonts w:ascii="Arial" w:hAnsi="Arial" w:hint="default"/>
      </w:rPr>
    </w:lvl>
    <w:lvl w:ilvl="4" w:tplc="AD588506" w:tentative="1">
      <w:start w:val="1"/>
      <w:numFmt w:val="bullet"/>
      <w:lvlText w:val="•"/>
      <w:lvlJc w:val="left"/>
      <w:pPr>
        <w:tabs>
          <w:tab w:val="num" w:pos="3600"/>
        </w:tabs>
        <w:ind w:left="3600" w:hanging="360"/>
      </w:pPr>
      <w:rPr>
        <w:rFonts w:ascii="Arial" w:hAnsi="Arial" w:hint="default"/>
      </w:rPr>
    </w:lvl>
    <w:lvl w:ilvl="5" w:tplc="D0723730" w:tentative="1">
      <w:start w:val="1"/>
      <w:numFmt w:val="bullet"/>
      <w:lvlText w:val="•"/>
      <w:lvlJc w:val="left"/>
      <w:pPr>
        <w:tabs>
          <w:tab w:val="num" w:pos="4320"/>
        </w:tabs>
        <w:ind w:left="4320" w:hanging="360"/>
      </w:pPr>
      <w:rPr>
        <w:rFonts w:ascii="Arial" w:hAnsi="Arial" w:hint="default"/>
      </w:rPr>
    </w:lvl>
    <w:lvl w:ilvl="6" w:tplc="AEA45B7E" w:tentative="1">
      <w:start w:val="1"/>
      <w:numFmt w:val="bullet"/>
      <w:lvlText w:val="•"/>
      <w:lvlJc w:val="left"/>
      <w:pPr>
        <w:tabs>
          <w:tab w:val="num" w:pos="5040"/>
        </w:tabs>
        <w:ind w:left="5040" w:hanging="360"/>
      </w:pPr>
      <w:rPr>
        <w:rFonts w:ascii="Arial" w:hAnsi="Arial" w:hint="default"/>
      </w:rPr>
    </w:lvl>
    <w:lvl w:ilvl="7" w:tplc="6A280948" w:tentative="1">
      <w:start w:val="1"/>
      <w:numFmt w:val="bullet"/>
      <w:lvlText w:val="•"/>
      <w:lvlJc w:val="left"/>
      <w:pPr>
        <w:tabs>
          <w:tab w:val="num" w:pos="5760"/>
        </w:tabs>
        <w:ind w:left="5760" w:hanging="360"/>
      </w:pPr>
      <w:rPr>
        <w:rFonts w:ascii="Arial" w:hAnsi="Arial" w:hint="default"/>
      </w:rPr>
    </w:lvl>
    <w:lvl w:ilvl="8" w:tplc="6A3ABD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2B0A34"/>
    <w:multiLevelType w:val="hybridMultilevel"/>
    <w:tmpl w:val="5A70E968"/>
    <w:lvl w:ilvl="0" w:tplc="CA5229D6">
      <w:start w:val="1"/>
      <w:numFmt w:val="bullet"/>
      <w:lvlText w:val="•"/>
      <w:lvlJc w:val="left"/>
      <w:pPr>
        <w:tabs>
          <w:tab w:val="num" w:pos="720"/>
        </w:tabs>
        <w:ind w:left="720" w:hanging="360"/>
      </w:pPr>
      <w:rPr>
        <w:rFonts w:ascii="Arial" w:hAnsi="Arial" w:hint="default"/>
      </w:rPr>
    </w:lvl>
    <w:lvl w:ilvl="1" w:tplc="570E47F6" w:tentative="1">
      <w:start w:val="1"/>
      <w:numFmt w:val="bullet"/>
      <w:lvlText w:val="•"/>
      <w:lvlJc w:val="left"/>
      <w:pPr>
        <w:tabs>
          <w:tab w:val="num" w:pos="1440"/>
        </w:tabs>
        <w:ind w:left="1440" w:hanging="360"/>
      </w:pPr>
      <w:rPr>
        <w:rFonts w:ascii="Arial" w:hAnsi="Arial" w:hint="default"/>
      </w:rPr>
    </w:lvl>
    <w:lvl w:ilvl="2" w:tplc="1DCEEFBA" w:tentative="1">
      <w:start w:val="1"/>
      <w:numFmt w:val="bullet"/>
      <w:lvlText w:val="•"/>
      <w:lvlJc w:val="left"/>
      <w:pPr>
        <w:tabs>
          <w:tab w:val="num" w:pos="2160"/>
        </w:tabs>
        <w:ind w:left="2160" w:hanging="360"/>
      </w:pPr>
      <w:rPr>
        <w:rFonts w:ascii="Arial" w:hAnsi="Arial" w:hint="default"/>
      </w:rPr>
    </w:lvl>
    <w:lvl w:ilvl="3" w:tplc="6F3831D0" w:tentative="1">
      <w:start w:val="1"/>
      <w:numFmt w:val="bullet"/>
      <w:lvlText w:val="•"/>
      <w:lvlJc w:val="left"/>
      <w:pPr>
        <w:tabs>
          <w:tab w:val="num" w:pos="2880"/>
        </w:tabs>
        <w:ind w:left="2880" w:hanging="360"/>
      </w:pPr>
      <w:rPr>
        <w:rFonts w:ascii="Arial" w:hAnsi="Arial" w:hint="default"/>
      </w:rPr>
    </w:lvl>
    <w:lvl w:ilvl="4" w:tplc="4A2CC7CA" w:tentative="1">
      <w:start w:val="1"/>
      <w:numFmt w:val="bullet"/>
      <w:lvlText w:val="•"/>
      <w:lvlJc w:val="left"/>
      <w:pPr>
        <w:tabs>
          <w:tab w:val="num" w:pos="3600"/>
        </w:tabs>
        <w:ind w:left="3600" w:hanging="360"/>
      </w:pPr>
      <w:rPr>
        <w:rFonts w:ascii="Arial" w:hAnsi="Arial" w:hint="default"/>
      </w:rPr>
    </w:lvl>
    <w:lvl w:ilvl="5" w:tplc="114AA120" w:tentative="1">
      <w:start w:val="1"/>
      <w:numFmt w:val="bullet"/>
      <w:lvlText w:val="•"/>
      <w:lvlJc w:val="left"/>
      <w:pPr>
        <w:tabs>
          <w:tab w:val="num" w:pos="4320"/>
        </w:tabs>
        <w:ind w:left="4320" w:hanging="360"/>
      </w:pPr>
      <w:rPr>
        <w:rFonts w:ascii="Arial" w:hAnsi="Arial" w:hint="default"/>
      </w:rPr>
    </w:lvl>
    <w:lvl w:ilvl="6" w:tplc="DAF20FE2" w:tentative="1">
      <w:start w:val="1"/>
      <w:numFmt w:val="bullet"/>
      <w:lvlText w:val="•"/>
      <w:lvlJc w:val="left"/>
      <w:pPr>
        <w:tabs>
          <w:tab w:val="num" w:pos="5040"/>
        </w:tabs>
        <w:ind w:left="5040" w:hanging="360"/>
      </w:pPr>
      <w:rPr>
        <w:rFonts w:ascii="Arial" w:hAnsi="Arial" w:hint="default"/>
      </w:rPr>
    </w:lvl>
    <w:lvl w:ilvl="7" w:tplc="A17A64D2" w:tentative="1">
      <w:start w:val="1"/>
      <w:numFmt w:val="bullet"/>
      <w:lvlText w:val="•"/>
      <w:lvlJc w:val="left"/>
      <w:pPr>
        <w:tabs>
          <w:tab w:val="num" w:pos="5760"/>
        </w:tabs>
        <w:ind w:left="5760" w:hanging="360"/>
      </w:pPr>
      <w:rPr>
        <w:rFonts w:ascii="Arial" w:hAnsi="Arial" w:hint="default"/>
      </w:rPr>
    </w:lvl>
    <w:lvl w:ilvl="8" w:tplc="4CC69D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82F6D"/>
    <w:multiLevelType w:val="hybridMultilevel"/>
    <w:tmpl w:val="412A5DCA"/>
    <w:lvl w:ilvl="0" w:tplc="99EA1C2C">
      <w:start w:val="1"/>
      <w:numFmt w:val="bullet"/>
      <w:lvlText w:val="Ø"/>
      <w:lvlJc w:val="left"/>
      <w:pPr>
        <w:tabs>
          <w:tab w:val="num" w:pos="720"/>
        </w:tabs>
        <w:ind w:left="720" w:hanging="360"/>
      </w:pPr>
      <w:rPr>
        <w:rFonts w:ascii="Wingdings" w:hAnsi="Wingdings" w:hint="default"/>
      </w:rPr>
    </w:lvl>
    <w:lvl w:ilvl="1" w:tplc="235AA516" w:tentative="1">
      <w:start w:val="1"/>
      <w:numFmt w:val="bullet"/>
      <w:lvlText w:val="Ø"/>
      <w:lvlJc w:val="left"/>
      <w:pPr>
        <w:tabs>
          <w:tab w:val="num" w:pos="1440"/>
        </w:tabs>
        <w:ind w:left="1440" w:hanging="360"/>
      </w:pPr>
      <w:rPr>
        <w:rFonts w:ascii="Wingdings" w:hAnsi="Wingdings" w:hint="default"/>
      </w:rPr>
    </w:lvl>
    <w:lvl w:ilvl="2" w:tplc="E214C554" w:tentative="1">
      <w:start w:val="1"/>
      <w:numFmt w:val="bullet"/>
      <w:lvlText w:val="Ø"/>
      <w:lvlJc w:val="left"/>
      <w:pPr>
        <w:tabs>
          <w:tab w:val="num" w:pos="2160"/>
        </w:tabs>
        <w:ind w:left="2160" w:hanging="360"/>
      </w:pPr>
      <w:rPr>
        <w:rFonts w:ascii="Wingdings" w:hAnsi="Wingdings" w:hint="default"/>
      </w:rPr>
    </w:lvl>
    <w:lvl w:ilvl="3" w:tplc="B198CA7C" w:tentative="1">
      <w:start w:val="1"/>
      <w:numFmt w:val="bullet"/>
      <w:lvlText w:val="Ø"/>
      <w:lvlJc w:val="left"/>
      <w:pPr>
        <w:tabs>
          <w:tab w:val="num" w:pos="2880"/>
        </w:tabs>
        <w:ind w:left="2880" w:hanging="360"/>
      </w:pPr>
      <w:rPr>
        <w:rFonts w:ascii="Wingdings" w:hAnsi="Wingdings" w:hint="default"/>
      </w:rPr>
    </w:lvl>
    <w:lvl w:ilvl="4" w:tplc="8D80067C" w:tentative="1">
      <w:start w:val="1"/>
      <w:numFmt w:val="bullet"/>
      <w:lvlText w:val="Ø"/>
      <w:lvlJc w:val="left"/>
      <w:pPr>
        <w:tabs>
          <w:tab w:val="num" w:pos="3600"/>
        </w:tabs>
        <w:ind w:left="3600" w:hanging="360"/>
      </w:pPr>
      <w:rPr>
        <w:rFonts w:ascii="Wingdings" w:hAnsi="Wingdings" w:hint="default"/>
      </w:rPr>
    </w:lvl>
    <w:lvl w:ilvl="5" w:tplc="2396A4A8" w:tentative="1">
      <w:start w:val="1"/>
      <w:numFmt w:val="bullet"/>
      <w:lvlText w:val="Ø"/>
      <w:lvlJc w:val="left"/>
      <w:pPr>
        <w:tabs>
          <w:tab w:val="num" w:pos="4320"/>
        </w:tabs>
        <w:ind w:left="4320" w:hanging="360"/>
      </w:pPr>
      <w:rPr>
        <w:rFonts w:ascii="Wingdings" w:hAnsi="Wingdings" w:hint="default"/>
      </w:rPr>
    </w:lvl>
    <w:lvl w:ilvl="6" w:tplc="613255F2" w:tentative="1">
      <w:start w:val="1"/>
      <w:numFmt w:val="bullet"/>
      <w:lvlText w:val="Ø"/>
      <w:lvlJc w:val="left"/>
      <w:pPr>
        <w:tabs>
          <w:tab w:val="num" w:pos="5040"/>
        </w:tabs>
        <w:ind w:left="5040" w:hanging="360"/>
      </w:pPr>
      <w:rPr>
        <w:rFonts w:ascii="Wingdings" w:hAnsi="Wingdings" w:hint="default"/>
      </w:rPr>
    </w:lvl>
    <w:lvl w:ilvl="7" w:tplc="76AC414E" w:tentative="1">
      <w:start w:val="1"/>
      <w:numFmt w:val="bullet"/>
      <w:lvlText w:val="Ø"/>
      <w:lvlJc w:val="left"/>
      <w:pPr>
        <w:tabs>
          <w:tab w:val="num" w:pos="5760"/>
        </w:tabs>
        <w:ind w:left="5760" w:hanging="360"/>
      </w:pPr>
      <w:rPr>
        <w:rFonts w:ascii="Wingdings" w:hAnsi="Wingdings" w:hint="default"/>
      </w:rPr>
    </w:lvl>
    <w:lvl w:ilvl="8" w:tplc="DBF01B12" w:tentative="1">
      <w:start w:val="1"/>
      <w:numFmt w:val="bullet"/>
      <w:lvlText w:val="Ø"/>
      <w:lvlJc w:val="left"/>
      <w:pPr>
        <w:tabs>
          <w:tab w:val="num" w:pos="6480"/>
        </w:tabs>
        <w:ind w:left="6480" w:hanging="360"/>
      </w:pPr>
      <w:rPr>
        <w:rFonts w:ascii="Wingdings" w:hAnsi="Wingdings" w:hint="default"/>
      </w:rPr>
    </w:lvl>
  </w:abstractNum>
  <w:abstractNum w:abstractNumId="11" w15:restartNumberingAfterBreak="0">
    <w:nsid w:val="566E01C4"/>
    <w:multiLevelType w:val="hybridMultilevel"/>
    <w:tmpl w:val="DF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5D29C8"/>
    <w:multiLevelType w:val="hybridMultilevel"/>
    <w:tmpl w:val="1E8663F6"/>
    <w:lvl w:ilvl="0" w:tplc="3F5E633A">
      <w:start w:val="1"/>
      <w:numFmt w:val="bullet"/>
      <w:lvlText w:val="•"/>
      <w:lvlJc w:val="left"/>
      <w:pPr>
        <w:tabs>
          <w:tab w:val="num" w:pos="720"/>
        </w:tabs>
        <w:ind w:left="720" w:hanging="360"/>
      </w:pPr>
      <w:rPr>
        <w:rFonts w:ascii="Arial" w:hAnsi="Arial" w:hint="default"/>
      </w:rPr>
    </w:lvl>
    <w:lvl w:ilvl="1" w:tplc="0C881BA4" w:tentative="1">
      <w:start w:val="1"/>
      <w:numFmt w:val="bullet"/>
      <w:lvlText w:val="•"/>
      <w:lvlJc w:val="left"/>
      <w:pPr>
        <w:tabs>
          <w:tab w:val="num" w:pos="1440"/>
        </w:tabs>
        <w:ind w:left="1440" w:hanging="360"/>
      </w:pPr>
      <w:rPr>
        <w:rFonts w:ascii="Arial" w:hAnsi="Arial" w:hint="default"/>
      </w:rPr>
    </w:lvl>
    <w:lvl w:ilvl="2" w:tplc="AE1040AE" w:tentative="1">
      <w:start w:val="1"/>
      <w:numFmt w:val="bullet"/>
      <w:lvlText w:val="•"/>
      <w:lvlJc w:val="left"/>
      <w:pPr>
        <w:tabs>
          <w:tab w:val="num" w:pos="2160"/>
        </w:tabs>
        <w:ind w:left="2160" w:hanging="360"/>
      </w:pPr>
      <w:rPr>
        <w:rFonts w:ascii="Arial" w:hAnsi="Arial" w:hint="default"/>
      </w:rPr>
    </w:lvl>
    <w:lvl w:ilvl="3" w:tplc="AB9876D8" w:tentative="1">
      <w:start w:val="1"/>
      <w:numFmt w:val="bullet"/>
      <w:lvlText w:val="•"/>
      <w:lvlJc w:val="left"/>
      <w:pPr>
        <w:tabs>
          <w:tab w:val="num" w:pos="2880"/>
        </w:tabs>
        <w:ind w:left="2880" w:hanging="360"/>
      </w:pPr>
      <w:rPr>
        <w:rFonts w:ascii="Arial" w:hAnsi="Arial" w:hint="default"/>
      </w:rPr>
    </w:lvl>
    <w:lvl w:ilvl="4" w:tplc="C1E4C864" w:tentative="1">
      <w:start w:val="1"/>
      <w:numFmt w:val="bullet"/>
      <w:lvlText w:val="•"/>
      <w:lvlJc w:val="left"/>
      <w:pPr>
        <w:tabs>
          <w:tab w:val="num" w:pos="3600"/>
        </w:tabs>
        <w:ind w:left="3600" w:hanging="360"/>
      </w:pPr>
      <w:rPr>
        <w:rFonts w:ascii="Arial" w:hAnsi="Arial" w:hint="default"/>
      </w:rPr>
    </w:lvl>
    <w:lvl w:ilvl="5" w:tplc="63287E28" w:tentative="1">
      <w:start w:val="1"/>
      <w:numFmt w:val="bullet"/>
      <w:lvlText w:val="•"/>
      <w:lvlJc w:val="left"/>
      <w:pPr>
        <w:tabs>
          <w:tab w:val="num" w:pos="4320"/>
        </w:tabs>
        <w:ind w:left="4320" w:hanging="360"/>
      </w:pPr>
      <w:rPr>
        <w:rFonts w:ascii="Arial" w:hAnsi="Arial" w:hint="default"/>
      </w:rPr>
    </w:lvl>
    <w:lvl w:ilvl="6" w:tplc="3334A6CE" w:tentative="1">
      <w:start w:val="1"/>
      <w:numFmt w:val="bullet"/>
      <w:lvlText w:val="•"/>
      <w:lvlJc w:val="left"/>
      <w:pPr>
        <w:tabs>
          <w:tab w:val="num" w:pos="5040"/>
        </w:tabs>
        <w:ind w:left="5040" w:hanging="360"/>
      </w:pPr>
      <w:rPr>
        <w:rFonts w:ascii="Arial" w:hAnsi="Arial" w:hint="default"/>
      </w:rPr>
    </w:lvl>
    <w:lvl w:ilvl="7" w:tplc="CB761222" w:tentative="1">
      <w:start w:val="1"/>
      <w:numFmt w:val="bullet"/>
      <w:lvlText w:val="•"/>
      <w:lvlJc w:val="left"/>
      <w:pPr>
        <w:tabs>
          <w:tab w:val="num" w:pos="5760"/>
        </w:tabs>
        <w:ind w:left="5760" w:hanging="360"/>
      </w:pPr>
      <w:rPr>
        <w:rFonts w:ascii="Arial" w:hAnsi="Arial" w:hint="default"/>
      </w:rPr>
    </w:lvl>
    <w:lvl w:ilvl="8" w:tplc="E55C95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CE1C7A"/>
    <w:multiLevelType w:val="multilevel"/>
    <w:tmpl w:val="4876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F13B71"/>
    <w:multiLevelType w:val="hybridMultilevel"/>
    <w:tmpl w:val="2DB04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B50EA9"/>
    <w:multiLevelType w:val="multilevel"/>
    <w:tmpl w:val="54A2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00F54"/>
    <w:multiLevelType w:val="hybridMultilevel"/>
    <w:tmpl w:val="73F02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818304">
    <w:abstractNumId w:val="11"/>
  </w:num>
  <w:num w:numId="2" w16cid:durableId="1736466492">
    <w:abstractNumId w:val="7"/>
  </w:num>
  <w:num w:numId="3" w16cid:durableId="5258750">
    <w:abstractNumId w:val="12"/>
  </w:num>
  <w:num w:numId="4" w16cid:durableId="1601839894">
    <w:abstractNumId w:val="5"/>
  </w:num>
  <w:num w:numId="5" w16cid:durableId="1247303937">
    <w:abstractNumId w:val="0"/>
  </w:num>
  <w:num w:numId="6" w16cid:durableId="1324117427">
    <w:abstractNumId w:val="8"/>
  </w:num>
  <w:num w:numId="7" w16cid:durableId="2024893444">
    <w:abstractNumId w:val="4"/>
  </w:num>
  <w:num w:numId="8" w16cid:durableId="289216313">
    <w:abstractNumId w:val="9"/>
  </w:num>
  <w:num w:numId="9" w16cid:durableId="1760445444">
    <w:abstractNumId w:val="10"/>
  </w:num>
  <w:num w:numId="10" w16cid:durableId="199897634">
    <w:abstractNumId w:val="6"/>
  </w:num>
  <w:num w:numId="11" w16cid:durableId="1691295124">
    <w:abstractNumId w:val="1"/>
  </w:num>
  <w:num w:numId="12" w16cid:durableId="643658218">
    <w:abstractNumId w:val="13"/>
  </w:num>
  <w:num w:numId="13" w16cid:durableId="2105223209">
    <w:abstractNumId w:val="15"/>
  </w:num>
  <w:num w:numId="14" w16cid:durableId="1217202218">
    <w:abstractNumId w:val="3"/>
  </w:num>
  <w:num w:numId="15" w16cid:durableId="1034430376">
    <w:abstractNumId w:val="14"/>
  </w:num>
  <w:num w:numId="16" w16cid:durableId="1876695788">
    <w:abstractNumId w:val="2"/>
  </w:num>
  <w:num w:numId="17" w16cid:durableId="965503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C0"/>
    <w:rsid w:val="000005DE"/>
    <w:rsid w:val="000033FF"/>
    <w:rsid w:val="000037B6"/>
    <w:rsid w:val="00005363"/>
    <w:rsid w:val="00005F0A"/>
    <w:rsid w:val="000075F2"/>
    <w:rsid w:val="00007AFE"/>
    <w:rsid w:val="00010E5E"/>
    <w:rsid w:val="00012BC2"/>
    <w:rsid w:val="00013450"/>
    <w:rsid w:val="0001364E"/>
    <w:rsid w:val="000147E1"/>
    <w:rsid w:val="00016077"/>
    <w:rsid w:val="000168C9"/>
    <w:rsid w:val="00017452"/>
    <w:rsid w:val="000208E7"/>
    <w:rsid w:val="00021661"/>
    <w:rsid w:val="00021B85"/>
    <w:rsid w:val="00023B37"/>
    <w:rsid w:val="00023B6D"/>
    <w:rsid w:val="00024D21"/>
    <w:rsid w:val="00024E00"/>
    <w:rsid w:val="000254DE"/>
    <w:rsid w:val="0002573D"/>
    <w:rsid w:val="000272F2"/>
    <w:rsid w:val="000274E7"/>
    <w:rsid w:val="00031C46"/>
    <w:rsid w:val="0003365C"/>
    <w:rsid w:val="00033C33"/>
    <w:rsid w:val="00035E12"/>
    <w:rsid w:val="0003759C"/>
    <w:rsid w:val="00037995"/>
    <w:rsid w:val="0004028A"/>
    <w:rsid w:val="00040BFF"/>
    <w:rsid w:val="00042213"/>
    <w:rsid w:val="0004223D"/>
    <w:rsid w:val="000427B4"/>
    <w:rsid w:val="0004381D"/>
    <w:rsid w:val="00043953"/>
    <w:rsid w:val="000439A5"/>
    <w:rsid w:val="00044DBE"/>
    <w:rsid w:val="0004679D"/>
    <w:rsid w:val="000469A3"/>
    <w:rsid w:val="0004730D"/>
    <w:rsid w:val="0004777A"/>
    <w:rsid w:val="00047EEA"/>
    <w:rsid w:val="00050E61"/>
    <w:rsid w:val="0005248F"/>
    <w:rsid w:val="000531F0"/>
    <w:rsid w:val="0005544F"/>
    <w:rsid w:val="0005576C"/>
    <w:rsid w:val="000558A8"/>
    <w:rsid w:val="00055F8A"/>
    <w:rsid w:val="00056659"/>
    <w:rsid w:val="000603C3"/>
    <w:rsid w:val="00060BAD"/>
    <w:rsid w:val="00060CEB"/>
    <w:rsid w:val="00061085"/>
    <w:rsid w:val="000624EC"/>
    <w:rsid w:val="00064776"/>
    <w:rsid w:val="000648C6"/>
    <w:rsid w:val="00064AEC"/>
    <w:rsid w:val="00065773"/>
    <w:rsid w:val="00066691"/>
    <w:rsid w:val="00067009"/>
    <w:rsid w:val="000674DA"/>
    <w:rsid w:val="0006777A"/>
    <w:rsid w:val="00067BB1"/>
    <w:rsid w:val="00070588"/>
    <w:rsid w:val="00070674"/>
    <w:rsid w:val="000717C7"/>
    <w:rsid w:val="0007307E"/>
    <w:rsid w:val="00073E1A"/>
    <w:rsid w:val="00075AA4"/>
    <w:rsid w:val="00076831"/>
    <w:rsid w:val="0008033C"/>
    <w:rsid w:val="00080C0F"/>
    <w:rsid w:val="00081892"/>
    <w:rsid w:val="00081C48"/>
    <w:rsid w:val="00085132"/>
    <w:rsid w:val="000852B5"/>
    <w:rsid w:val="00085EB5"/>
    <w:rsid w:val="00086C2D"/>
    <w:rsid w:val="000871B4"/>
    <w:rsid w:val="000912F2"/>
    <w:rsid w:val="00091EB9"/>
    <w:rsid w:val="00095810"/>
    <w:rsid w:val="00096FEE"/>
    <w:rsid w:val="0009788D"/>
    <w:rsid w:val="0009791B"/>
    <w:rsid w:val="00097BD8"/>
    <w:rsid w:val="00097C92"/>
    <w:rsid w:val="000A140F"/>
    <w:rsid w:val="000A5110"/>
    <w:rsid w:val="000A5D0F"/>
    <w:rsid w:val="000A6607"/>
    <w:rsid w:val="000A7557"/>
    <w:rsid w:val="000B061E"/>
    <w:rsid w:val="000B0AD4"/>
    <w:rsid w:val="000B1D6F"/>
    <w:rsid w:val="000B20D7"/>
    <w:rsid w:val="000B289B"/>
    <w:rsid w:val="000B403C"/>
    <w:rsid w:val="000B41BA"/>
    <w:rsid w:val="000B438F"/>
    <w:rsid w:val="000B51D7"/>
    <w:rsid w:val="000B5D92"/>
    <w:rsid w:val="000B6BC1"/>
    <w:rsid w:val="000C01A6"/>
    <w:rsid w:val="000C0F7D"/>
    <w:rsid w:val="000C147E"/>
    <w:rsid w:val="000C38BD"/>
    <w:rsid w:val="000C44EB"/>
    <w:rsid w:val="000C4625"/>
    <w:rsid w:val="000C7016"/>
    <w:rsid w:val="000C7A5C"/>
    <w:rsid w:val="000D099E"/>
    <w:rsid w:val="000D582C"/>
    <w:rsid w:val="000D5FBD"/>
    <w:rsid w:val="000E0501"/>
    <w:rsid w:val="000E0EC2"/>
    <w:rsid w:val="000E1ADD"/>
    <w:rsid w:val="000E2549"/>
    <w:rsid w:val="000E2760"/>
    <w:rsid w:val="000E2E36"/>
    <w:rsid w:val="000E398B"/>
    <w:rsid w:val="000E5019"/>
    <w:rsid w:val="000E6607"/>
    <w:rsid w:val="000E6DC7"/>
    <w:rsid w:val="000E7D4B"/>
    <w:rsid w:val="000E7FBC"/>
    <w:rsid w:val="000F0874"/>
    <w:rsid w:val="000F13DA"/>
    <w:rsid w:val="000F33F3"/>
    <w:rsid w:val="000F44D7"/>
    <w:rsid w:val="000F47D1"/>
    <w:rsid w:val="000F4B59"/>
    <w:rsid w:val="000F542D"/>
    <w:rsid w:val="000F6166"/>
    <w:rsid w:val="000F6C85"/>
    <w:rsid w:val="001001FF"/>
    <w:rsid w:val="001013EA"/>
    <w:rsid w:val="00101CB4"/>
    <w:rsid w:val="00102F1D"/>
    <w:rsid w:val="00104615"/>
    <w:rsid w:val="0010728A"/>
    <w:rsid w:val="00107A68"/>
    <w:rsid w:val="00107F4E"/>
    <w:rsid w:val="00110267"/>
    <w:rsid w:val="00111004"/>
    <w:rsid w:val="00111350"/>
    <w:rsid w:val="00111566"/>
    <w:rsid w:val="00111607"/>
    <w:rsid w:val="00112076"/>
    <w:rsid w:val="00112983"/>
    <w:rsid w:val="00113635"/>
    <w:rsid w:val="00113FC1"/>
    <w:rsid w:val="001155D2"/>
    <w:rsid w:val="00116631"/>
    <w:rsid w:val="00121159"/>
    <w:rsid w:val="001214E4"/>
    <w:rsid w:val="00122331"/>
    <w:rsid w:val="00124D07"/>
    <w:rsid w:val="00125383"/>
    <w:rsid w:val="001258EF"/>
    <w:rsid w:val="001275E8"/>
    <w:rsid w:val="00130321"/>
    <w:rsid w:val="001314A1"/>
    <w:rsid w:val="00131911"/>
    <w:rsid w:val="00131D85"/>
    <w:rsid w:val="00131DA3"/>
    <w:rsid w:val="00132999"/>
    <w:rsid w:val="00132D18"/>
    <w:rsid w:val="0013391A"/>
    <w:rsid w:val="00134121"/>
    <w:rsid w:val="001360E6"/>
    <w:rsid w:val="00136BF4"/>
    <w:rsid w:val="001378AD"/>
    <w:rsid w:val="00140F98"/>
    <w:rsid w:val="001429E5"/>
    <w:rsid w:val="00142E54"/>
    <w:rsid w:val="001433C1"/>
    <w:rsid w:val="00143964"/>
    <w:rsid w:val="001464B0"/>
    <w:rsid w:val="00147170"/>
    <w:rsid w:val="00150152"/>
    <w:rsid w:val="001509CA"/>
    <w:rsid w:val="0015188F"/>
    <w:rsid w:val="00151EAD"/>
    <w:rsid w:val="00152C01"/>
    <w:rsid w:val="001535FB"/>
    <w:rsid w:val="00154AF0"/>
    <w:rsid w:val="00155F85"/>
    <w:rsid w:val="00156288"/>
    <w:rsid w:val="00156B3A"/>
    <w:rsid w:val="00156D54"/>
    <w:rsid w:val="00157440"/>
    <w:rsid w:val="00157BF9"/>
    <w:rsid w:val="001600EA"/>
    <w:rsid w:val="00160BD3"/>
    <w:rsid w:val="00160E9E"/>
    <w:rsid w:val="00161433"/>
    <w:rsid w:val="001634E7"/>
    <w:rsid w:val="001641A7"/>
    <w:rsid w:val="00164DC6"/>
    <w:rsid w:val="00165967"/>
    <w:rsid w:val="00165A18"/>
    <w:rsid w:val="00165DA7"/>
    <w:rsid w:val="00166012"/>
    <w:rsid w:val="00170C3A"/>
    <w:rsid w:val="001713F8"/>
    <w:rsid w:val="001721B2"/>
    <w:rsid w:val="00172691"/>
    <w:rsid w:val="00173D67"/>
    <w:rsid w:val="00174CA4"/>
    <w:rsid w:val="00174F9C"/>
    <w:rsid w:val="00174FE2"/>
    <w:rsid w:val="00180719"/>
    <w:rsid w:val="001808C9"/>
    <w:rsid w:val="00181448"/>
    <w:rsid w:val="00181AA6"/>
    <w:rsid w:val="00181C22"/>
    <w:rsid w:val="00181D33"/>
    <w:rsid w:val="00182C47"/>
    <w:rsid w:val="00182E45"/>
    <w:rsid w:val="001834F2"/>
    <w:rsid w:val="001844EC"/>
    <w:rsid w:val="00185D88"/>
    <w:rsid w:val="00186202"/>
    <w:rsid w:val="00190B66"/>
    <w:rsid w:val="00193166"/>
    <w:rsid w:val="0019426A"/>
    <w:rsid w:val="001946DA"/>
    <w:rsid w:val="00194764"/>
    <w:rsid w:val="00195821"/>
    <w:rsid w:val="00196104"/>
    <w:rsid w:val="00196665"/>
    <w:rsid w:val="00196909"/>
    <w:rsid w:val="00197052"/>
    <w:rsid w:val="001975AD"/>
    <w:rsid w:val="00197CDE"/>
    <w:rsid w:val="001A0477"/>
    <w:rsid w:val="001A0937"/>
    <w:rsid w:val="001A1B12"/>
    <w:rsid w:val="001A20B3"/>
    <w:rsid w:val="001A586D"/>
    <w:rsid w:val="001A663E"/>
    <w:rsid w:val="001A6986"/>
    <w:rsid w:val="001A71B0"/>
    <w:rsid w:val="001B0BA2"/>
    <w:rsid w:val="001B18AE"/>
    <w:rsid w:val="001B1A54"/>
    <w:rsid w:val="001B1B6B"/>
    <w:rsid w:val="001B2A05"/>
    <w:rsid w:val="001B336A"/>
    <w:rsid w:val="001B4384"/>
    <w:rsid w:val="001C04EE"/>
    <w:rsid w:val="001C10EA"/>
    <w:rsid w:val="001C1D54"/>
    <w:rsid w:val="001C219B"/>
    <w:rsid w:val="001C22F7"/>
    <w:rsid w:val="001C2E55"/>
    <w:rsid w:val="001C402F"/>
    <w:rsid w:val="001C4423"/>
    <w:rsid w:val="001C4726"/>
    <w:rsid w:val="001C57D2"/>
    <w:rsid w:val="001C637A"/>
    <w:rsid w:val="001C6900"/>
    <w:rsid w:val="001C79FF"/>
    <w:rsid w:val="001C7D67"/>
    <w:rsid w:val="001D15D6"/>
    <w:rsid w:val="001D4AA1"/>
    <w:rsid w:val="001D4F05"/>
    <w:rsid w:val="001D5193"/>
    <w:rsid w:val="001D5766"/>
    <w:rsid w:val="001D65D9"/>
    <w:rsid w:val="001D686E"/>
    <w:rsid w:val="001D6C14"/>
    <w:rsid w:val="001D759C"/>
    <w:rsid w:val="001D7E5A"/>
    <w:rsid w:val="001D7E9D"/>
    <w:rsid w:val="001E045F"/>
    <w:rsid w:val="001E11F9"/>
    <w:rsid w:val="001E23BE"/>
    <w:rsid w:val="001E42FE"/>
    <w:rsid w:val="001E4C34"/>
    <w:rsid w:val="001E4C7E"/>
    <w:rsid w:val="001E5A34"/>
    <w:rsid w:val="001E6AAA"/>
    <w:rsid w:val="001F290C"/>
    <w:rsid w:val="001F4CDB"/>
    <w:rsid w:val="001F540A"/>
    <w:rsid w:val="001F565D"/>
    <w:rsid w:val="001F5DA1"/>
    <w:rsid w:val="001F5E28"/>
    <w:rsid w:val="001F6363"/>
    <w:rsid w:val="001F6D16"/>
    <w:rsid w:val="002001D6"/>
    <w:rsid w:val="00200C5C"/>
    <w:rsid w:val="00201237"/>
    <w:rsid w:val="002016B1"/>
    <w:rsid w:val="00203FD4"/>
    <w:rsid w:val="00205810"/>
    <w:rsid w:val="0020647C"/>
    <w:rsid w:val="0020766D"/>
    <w:rsid w:val="00207A69"/>
    <w:rsid w:val="00207E2B"/>
    <w:rsid w:val="0021012F"/>
    <w:rsid w:val="00211DEA"/>
    <w:rsid w:val="00212357"/>
    <w:rsid w:val="0021301E"/>
    <w:rsid w:val="00213D64"/>
    <w:rsid w:val="00213D71"/>
    <w:rsid w:val="00214BE5"/>
    <w:rsid w:val="00216B8A"/>
    <w:rsid w:val="0021729B"/>
    <w:rsid w:val="00217614"/>
    <w:rsid w:val="00217704"/>
    <w:rsid w:val="00217C73"/>
    <w:rsid w:val="0022086A"/>
    <w:rsid w:val="002212D6"/>
    <w:rsid w:val="00221319"/>
    <w:rsid w:val="002214BA"/>
    <w:rsid w:val="00221C84"/>
    <w:rsid w:val="002220DC"/>
    <w:rsid w:val="002261FE"/>
    <w:rsid w:val="0022660C"/>
    <w:rsid w:val="00226CE9"/>
    <w:rsid w:val="00230171"/>
    <w:rsid w:val="002301FA"/>
    <w:rsid w:val="002304AF"/>
    <w:rsid w:val="00230714"/>
    <w:rsid w:val="002307DE"/>
    <w:rsid w:val="00232309"/>
    <w:rsid w:val="002354EA"/>
    <w:rsid w:val="002357FD"/>
    <w:rsid w:val="002368F8"/>
    <w:rsid w:val="00237F44"/>
    <w:rsid w:val="002406A3"/>
    <w:rsid w:val="002409AC"/>
    <w:rsid w:val="00241CBF"/>
    <w:rsid w:val="0024274A"/>
    <w:rsid w:val="00244418"/>
    <w:rsid w:val="00244C88"/>
    <w:rsid w:val="002454BE"/>
    <w:rsid w:val="00245590"/>
    <w:rsid w:val="00245FAD"/>
    <w:rsid w:val="00245FE2"/>
    <w:rsid w:val="002473E8"/>
    <w:rsid w:val="00251199"/>
    <w:rsid w:val="00251244"/>
    <w:rsid w:val="00251478"/>
    <w:rsid w:val="00251DB6"/>
    <w:rsid w:val="002533B5"/>
    <w:rsid w:val="00253C53"/>
    <w:rsid w:val="00256FA3"/>
    <w:rsid w:val="002576AE"/>
    <w:rsid w:val="0026050A"/>
    <w:rsid w:val="00260691"/>
    <w:rsid w:val="00260CC0"/>
    <w:rsid w:val="00262AB1"/>
    <w:rsid w:val="0026323B"/>
    <w:rsid w:val="002656D5"/>
    <w:rsid w:val="00266EFF"/>
    <w:rsid w:val="00270459"/>
    <w:rsid w:val="0027056F"/>
    <w:rsid w:val="002709A9"/>
    <w:rsid w:val="00270BA2"/>
    <w:rsid w:val="00270F3D"/>
    <w:rsid w:val="00271DD6"/>
    <w:rsid w:val="00271FA4"/>
    <w:rsid w:val="00272379"/>
    <w:rsid w:val="0027307E"/>
    <w:rsid w:val="00273CA3"/>
    <w:rsid w:val="00273E3A"/>
    <w:rsid w:val="002756AB"/>
    <w:rsid w:val="002760DA"/>
    <w:rsid w:val="002761A5"/>
    <w:rsid w:val="002761BF"/>
    <w:rsid w:val="00280B8E"/>
    <w:rsid w:val="0028277D"/>
    <w:rsid w:val="00282B0E"/>
    <w:rsid w:val="00282F86"/>
    <w:rsid w:val="002831B4"/>
    <w:rsid w:val="0028470F"/>
    <w:rsid w:val="002854D9"/>
    <w:rsid w:val="002855B6"/>
    <w:rsid w:val="00285BBB"/>
    <w:rsid w:val="00285DAE"/>
    <w:rsid w:val="00285F4D"/>
    <w:rsid w:val="00286356"/>
    <w:rsid w:val="00286A5D"/>
    <w:rsid w:val="002872AD"/>
    <w:rsid w:val="00290296"/>
    <w:rsid w:val="002904CA"/>
    <w:rsid w:val="00290CF4"/>
    <w:rsid w:val="002914FF"/>
    <w:rsid w:val="002915BB"/>
    <w:rsid w:val="00291713"/>
    <w:rsid w:val="00291C6F"/>
    <w:rsid w:val="002926B5"/>
    <w:rsid w:val="00292963"/>
    <w:rsid w:val="00294344"/>
    <w:rsid w:val="0029449F"/>
    <w:rsid w:val="00294CDD"/>
    <w:rsid w:val="002952BA"/>
    <w:rsid w:val="002955FA"/>
    <w:rsid w:val="00295765"/>
    <w:rsid w:val="002964C5"/>
    <w:rsid w:val="002A070E"/>
    <w:rsid w:val="002A0AE4"/>
    <w:rsid w:val="002A0C97"/>
    <w:rsid w:val="002A29F8"/>
    <w:rsid w:val="002A413C"/>
    <w:rsid w:val="002A5BC1"/>
    <w:rsid w:val="002A6A1B"/>
    <w:rsid w:val="002B00E8"/>
    <w:rsid w:val="002B2A9B"/>
    <w:rsid w:val="002B32A4"/>
    <w:rsid w:val="002B3969"/>
    <w:rsid w:val="002B75F0"/>
    <w:rsid w:val="002C09EB"/>
    <w:rsid w:val="002C18DD"/>
    <w:rsid w:val="002C2587"/>
    <w:rsid w:val="002C33F8"/>
    <w:rsid w:val="002C510B"/>
    <w:rsid w:val="002C61AD"/>
    <w:rsid w:val="002C6E75"/>
    <w:rsid w:val="002D0907"/>
    <w:rsid w:val="002D1BD0"/>
    <w:rsid w:val="002D440F"/>
    <w:rsid w:val="002D48A7"/>
    <w:rsid w:val="002D4FBB"/>
    <w:rsid w:val="002D57BB"/>
    <w:rsid w:val="002D5A78"/>
    <w:rsid w:val="002D5A8B"/>
    <w:rsid w:val="002D64C2"/>
    <w:rsid w:val="002D69E3"/>
    <w:rsid w:val="002D7098"/>
    <w:rsid w:val="002D7561"/>
    <w:rsid w:val="002E0026"/>
    <w:rsid w:val="002E21D1"/>
    <w:rsid w:val="002E3E34"/>
    <w:rsid w:val="002E4C23"/>
    <w:rsid w:val="002E4FE7"/>
    <w:rsid w:val="002E5B25"/>
    <w:rsid w:val="002E5DFD"/>
    <w:rsid w:val="002E654D"/>
    <w:rsid w:val="002E6632"/>
    <w:rsid w:val="002E701F"/>
    <w:rsid w:val="002E7AC6"/>
    <w:rsid w:val="002F2001"/>
    <w:rsid w:val="002F2CEA"/>
    <w:rsid w:val="002F31A4"/>
    <w:rsid w:val="002F35BA"/>
    <w:rsid w:val="002F3E9B"/>
    <w:rsid w:val="002F403A"/>
    <w:rsid w:val="002F4242"/>
    <w:rsid w:val="002F5F30"/>
    <w:rsid w:val="002F643F"/>
    <w:rsid w:val="002F6C85"/>
    <w:rsid w:val="002F6C8C"/>
    <w:rsid w:val="002F7611"/>
    <w:rsid w:val="002F78D9"/>
    <w:rsid w:val="002F79AA"/>
    <w:rsid w:val="00300662"/>
    <w:rsid w:val="0030155A"/>
    <w:rsid w:val="003016E5"/>
    <w:rsid w:val="003031F9"/>
    <w:rsid w:val="00303BAC"/>
    <w:rsid w:val="0030429C"/>
    <w:rsid w:val="0030542B"/>
    <w:rsid w:val="0030713B"/>
    <w:rsid w:val="0030717D"/>
    <w:rsid w:val="003072F3"/>
    <w:rsid w:val="00310969"/>
    <w:rsid w:val="00311EAA"/>
    <w:rsid w:val="00313C37"/>
    <w:rsid w:val="00314638"/>
    <w:rsid w:val="00315F39"/>
    <w:rsid w:val="0031651E"/>
    <w:rsid w:val="003172A6"/>
    <w:rsid w:val="00320508"/>
    <w:rsid w:val="00320F40"/>
    <w:rsid w:val="003220CF"/>
    <w:rsid w:val="0032272B"/>
    <w:rsid w:val="00323DD3"/>
    <w:rsid w:val="0032497A"/>
    <w:rsid w:val="00324BF5"/>
    <w:rsid w:val="00326370"/>
    <w:rsid w:val="00326AD6"/>
    <w:rsid w:val="00326FBC"/>
    <w:rsid w:val="0032741A"/>
    <w:rsid w:val="0032787D"/>
    <w:rsid w:val="00327AC5"/>
    <w:rsid w:val="0033081F"/>
    <w:rsid w:val="00330D23"/>
    <w:rsid w:val="00331F8F"/>
    <w:rsid w:val="00332A24"/>
    <w:rsid w:val="003332D9"/>
    <w:rsid w:val="00333826"/>
    <w:rsid w:val="003342BB"/>
    <w:rsid w:val="00334C71"/>
    <w:rsid w:val="003354BC"/>
    <w:rsid w:val="0033577C"/>
    <w:rsid w:val="00335966"/>
    <w:rsid w:val="00335BC2"/>
    <w:rsid w:val="003363E4"/>
    <w:rsid w:val="00336E7D"/>
    <w:rsid w:val="003370D9"/>
    <w:rsid w:val="003373A2"/>
    <w:rsid w:val="0034186F"/>
    <w:rsid w:val="00343022"/>
    <w:rsid w:val="0034517A"/>
    <w:rsid w:val="003456F2"/>
    <w:rsid w:val="003459F1"/>
    <w:rsid w:val="00347FD9"/>
    <w:rsid w:val="0035005D"/>
    <w:rsid w:val="00350A79"/>
    <w:rsid w:val="00355172"/>
    <w:rsid w:val="0035550D"/>
    <w:rsid w:val="00356501"/>
    <w:rsid w:val="00360A07"/>
    <w:rsid w:val="00360A29"/>
    <w:rsid w:val="00360E5A"/>
    <w:rsid w:val="003612C2"/>
    <w:rsid w:val="00361DB6"/>
    <w:rsid w:val="00361EDA"/>
    <w:rsid w:val="00362617"/>
    <w:rsid w:val="00362634"/>
    <w:rsid w:val="00362A33"/>
    <w:rsid w:val="0036315C"/>
    <w:rsid w:val="00365776"/>
    <w:rsid w:val="003664E1"/>
    <w:rsid w:val="003678A9"/>
    <w:rsid w:val="00367CE4"/>
    <w:rsid w:val="00370515"/>
    <w:rsid w:val="00371994"/>
    <w:rsid w:val="00372930"/>
    <w:rsid w:val="00373F06"/>
    <w:rsid w:val="00375645"/>
    <w:rsid w:val="003762C8"/>
    <w:rsid w:val="00376EAB"/>
    <w:rsid w:val="00377A46"/>
    <w:rsid w:val="00377C27"/>
    <w:rsid w:val="00380A40"/>
    <w:rsid w:val="00380D30"/>
    <w:rsid w:val="003837B9"/>
    <w:rsid w:val="0038622E"/>
    <w:rsid w:val="003862E2"/>
    <w:rsid w:val="00386A48"/>
    <w:rsid w:val="00387C98"/>
    <w:rsid w:val="00392572"/>
    <w:rsid w:val="00392831"/>
    <w:rsid w:val="003952FF"/>
    <w:rsid w:val="00395CB5"/>
    <w:rsid w:val="00396059"/>
    <w:rsid w:val="003A04BE"/>
    <w:rsid w:val="003A1510"/>
    <w:rsid w:val="003A2380"/>
    <w:rsid w:val="003A2E35"/>
    <w:rsid w:val="003A383C"/>
    <w:rsid w:val="003A3DF5"/>
    <w:rsid w:val="003A5971"/>
    <w:rsid w:val="003A60C1"/>
    <w:rsid w:val="003A650D"/>
    <w:rsid w:val="003B00EA"/>
    <w:rsid w:val="003B0701"/>
    <w:rsid w:val="003B211A"/>
    <w:rsid w:val="003B237D"/>
    <w:rsid w:val="003B3C32"/>
    <w:rsid w:val="003B3F9A"/>
    <w:rsid w:val="003B6000"/>
    <w:rsid w:val="003B6240"/>
    <w:rsid w:val="003B6332"/>
    <w:rsid w:val="003B6A0F"/>
    <w:rsid w:val="003B6ACC"/>
    <w:rsid w:val="003B7AAF"/>
    <w:rsid w:val="003B7D9D"/>
    <w:rsid w:val="003B7E31"/>
    <w:rsid w:val="003C1314"/>
    <w:rsid w:val="003C28D4"/>
    <w:rsid w:val="003C2E62"/>
    <w:rsid w:val="003C331D"/>
    <w:rsid w:val="003C3861"/>
    <w:rsid w:val="003C3996"/>
    <w:rsid w:val="003C4195"/>
    <w:rsid w:val="003C41B0"/>
    <w:rsid w:val="003C4BE0"/>
    <w:rsid w:val="003C4CF5"/>
    <w:rsid w:val="003C5F90"/>
    <w:rsid w:val="003C684F"/>
    <w:rsid w:val="003D1A8E"/>
    <w:rsid w:val="003D1CF7"/>
    <w:rsid w:val="003D1FF8"/>
    <w:rsid w:val="003D2EC8"/>
    <w:rsid w:val="003D3B9E"/>
    <w:rsid w:val="003D5001"/>
    <w:rsid w:val="003D627F"/>
    <w:rsid w:val="003D677F"/>
    <w:rsid w:val="003E00C3"/>
    <w:rsid w:val="003E0A20"/>
    <w:rsid w:val="003E0B12"/>
    <w:rsid w:val="003E2220"/>
    <w:rsid w:val="003E3309"/>
    <w:rsid w:val="003E4453"/>
    <w:rsid w:val="003E4517"/>
    <w:rsid w:val="003E4EB1"/>
    <w:rsid w:val="003E73A0"/>
    <w:rsid w:val="003E7BE7"/>
    <w:rsid w:val="003F0228"/>
    <w:rsid w:val="003F06F2"/>
    <w:rsid w:val="003F0714"/>
    <w:rsid w:val="003F0D8F"/>
    <w:rsid w:val="003F0E75"/>
    <w:rsid w:val="003F1539"/>
    <w:rsid w:val="003F362A"/>
    <w:rsid w:val="003F4767"/>
    <w:rsid w:val="003F58C7"/>
    <w:rsid w:val="003F60EB"/>
    <w:rsid w:val="004011AE"/>
    <w:rsid w:val="00403FB9"/>
    <w:rsid w:val="00403FF6"/>
    <w:rsid w:val="0040589B"/>
    <w:rsid w:val="00407901"/>
    <w:rsid w:val="00410FA1"/>
    <w:rsid w:val="00411B7D"/>
    <w:rsid w:val="004120A2"/>
    <w:rsid w:val="00412830"/>
    <w:rsid w:val="00412BF9"/>
    <w:rsid w:val="00413F85"/>
    <w:rsid w:val="00413F9F"/>
    <w:rsid w:val="00415D9E"/>
    <w:rsid w:val="004167CA"/>
    <w:rsid w:val="00420F4E"/>
    <w:rsid w:val="004215DA"/>
    <w:rsid w:val="00422240"/>
    <w:rsid w:val="00422632"/>
    <w:rsid w:val="00423ACB"/>
    <w:rsid w:val="00423BCD"/>
    <w:rsid w:val="004261DB"/>
    <w:rsid w:val="004273C6"/>
    <w:rsid w:val="004273D8"/>
    <w:rsid w:val="004304D4"/>
    <w:rsid w:val="00431368"/>
    <w:rsid w:val="00431759"/>
    <w:rsid w:val="00432C07"/>
    <w:rsid w:val="00434542"/>
    <w:rsid w:val="00434AD0"/>
    <w:rsid w:val="00436EFF"/>
    <w:rsid w:val="00437146"/>
    <w:rsid w:val="00440094"/>
    <w:rsid w:val="0044051C"/>
    <w:rsid w:val="00440EA3"/>
    <w:rsid w:val="00441478"/>
    <w:rsid w:val="00441895"/>
    <w:rsid w:val="00441A2B"/>
    <w:rsid w:val="00442C57"/>
    <w:rsid w:val="00444031"/>
    <w:rsid w:val="004442FB"/>
    <w:rsid w:val="004445BD"/>
    <w:rsid w:val="004458EA"/>
    <w:rsid w:val="0044654E"/>
    <w:rsid w:val="00447505"/>
    <w:rsid w:val="004476B2"/>
    <w:rsid w:val="004477E9"/>
    <w:rsid w:val="00447E9F"/>
    <w:rsid w:val="004504AB"/>
    <w:rsid w:val="00451060"/>
    <w:rsid w:val="0045176B"/>
    <w:rsid w:val="004526C1"/>
    <w:rsid w:val="00452E29"/>
    <w:rsid w:val="0045328E"/>
    <w:rsid w:val="004535EB"/>
    <w:rsid w:val="00453789"/>
    <w:rsid w:val="00453B84"/>
    <w:rsid w:val="00454F78"/>
    <w:rsid w:val="00455080"/>
    <w:rsid w:val="00456602"/>
    <w:rsid w:val="00457309"/>
    <w:rsid w:val="00460F6C"/>
    <w:rsid w:val="00461C87"/>
    <w:rsid w:val="0046225A"/>
    <w:rsid w:val="00462D39"/>
    <w:rsid w:val="004641B4"/>
    <w:rsid w:val="004658FB"/>
    <w:rsid w:val="00466362"/>
    <w:rsid w:val="00467517"/>
    <w:rsid w:val="00467EEF"/>
    <w:rsid w:val="0047090D"/>
    <w:rsid w:val="00470F32"/>
    <w:rsid w:val="00471B8B"/>
    <w:rsid w:val="00472362"/>
    <w:rsid w:val="0047267B"/>
    <w:rsid w:val="00472DD5"/>
    <w:rsid w:val="00473805"/>
    <w:rsid w:val="00473A69"/>
    <w:rsid w:val="00474AF4"/>
    <w:rsid w:val="004763AF"/>
    <w:rsid w:val="00476C92"/>
    <w:rsid w:val="00481166"/>
    <w:rsid w:val="0048267B"/>
    <w:rsid w:val="004833B0"/>
    <w:rsid w:val="004848D0"/>
    <w:rsid w:val="00484D67"/>
    <w:rsid w:val="00487187"/>
    <w:rsid w:val="00487660"/>
    <w:rsid w:val="00490BDB"/>
    <w:rsid w:val="0049200B"/>
    <w:rsid w:val="004920D0"/>
    <w:rsid w:val="00493DBB"/>
    <w:rsid w:val="0049416E"/>
    <w:rsid w:val="0049564B"/>
    <w:rsid w:val="00496BFD"/>
    <w:rsid w:val="004974A9"/>
    <w:rsid w:val="00497953"/>
    <w:rsid w:val="00497BE0"/>
    <w:rsid w:val="00497CFB"/>
    <w:rsid w:val="004A0E85"/>
    <w:rsid w:val="004A31B9"/>
    <w:rsid w:val="004A3C2A"/>
    <w:rsid w:val="004A4644"/>
    <w:rsid w:val="004A5818"/>
    <w:rsid w:val="004A5DF9"/>
    <w:rsid w:val="004B0207"/>
    <w:rsid w:val="004B0F4C"/>
    <w:rsid w:val="004B1538"/>
    <w:rsid w:val="004B15C6"/>
    <w:rsid w:val="004B25DE"/>
    <w:rsid w:val="004B2B55"/>
    <w:rsid w:val="004B2E6B"/>
    <w:rsid w:val="004B420C"/>
    <w:rsid w:val="004B464B"/>
    <w:rsid w:val="004B649D"/>
    <w:rsid w:val="004B6EEF"/>
    <w:rsid w:val="004B7624"/>
    <w:rsid w:val="004B780D"/>
    <w:rsid w:val="004C054A"/>
    <w:rsid w:val="004C06B6"/>
    <w:rsid w:val="004C1681"/>
    <w:rsid w:val="004C16A2"/>
    <w:rsid w:val="004C23B7"/>
    <w:rsid w:val="004C2F9A"/>
    <w:rsid w:val="004C3192"/>
    <w:rsid w:val="004C4034"/>
    <w:rsid w:val="004C52E0"/>
    <w:rsid w:val="004C5833"/>
    <w:rsid w:val="004C5FD6"/>
    <w:rsid w:val="004C7B4E"/>
    <w:rsid w:val="004D1885"/>
    <w:rsid w:val="004D4B79"/>
    <w:rsid w:val="004D5099"/>
    <w:rsid w:val="004D552E"/>
    <w:rsid w:val="004D55AC"/>
    <w:rsid w:val="004D5677"/>
    <w:rsid w:val="004D57FE"/>
    <w:rsid w:val="004D59A8"/>
    <w:rsid w:val="004D5AFD"/>
    <w:rsid w:val="004D5E94"/>
    <w:rsid w:val="004D68E1"/>
    <w:rsid w:val="004D757F"/>
    <w:rsid w:val="004D79B0"/>
    <w:rsid w:val="004D7B63"/>
    <w:rsid w:val="004E03FC"/>
    <w:rsid w:val="004E074B"/>
    <w:rsid w:val="004E0E46"/>
    <w:rsid w:val="004E27A0"/>
    <w:rsid w:val="004E2B06"/>
    <w:rsid w:val="004E3223"/>
    <w:rsid w:val="004E55D4"/>
    <w:rsid w:val="004E5ADA"/>
    <w:rsid w:val="004E5FED"/>
    <w:rsid w:val="004E63C4"/>
    <w:rsid w:val="004E66D3"/>
    <w:rsid w:val="004E6DCB"/>
    <w:rsid w:val="004E6EE4"/>
    <w:rsid w:val="004F0150"/>
    <w:rsid w:val="004F0485"/>
    <w:rsid w:val="004F0A88"/>
    <w:rsid w:val="004F2A13"/>
    <w:rsid w:val="004F419E"/>
    <w:rsid w:val="004F43D7"/>
    <w:rsid w:val="004F5441"/>
    <w:rsid w:val="004F629F"/>
    <w:rsid w:val="004F6A76"/>
    <w:rsid w:val="004F6DFA"/>
    <w:rsid w:val="005005D6"/>
    <w:rsid w:val="005012AF"/>
    <w:rsid w:val="005018F6"/>
    <w:rsid w:val="005019D0"/>
    <w:rsid w:val="00503604"/>
    <w:rsid w:val="005041D1"/>
    <w:rsid w:val="00504C52"/>
    <w:rsid w:val="00505AEB"/>
    <w:rsid w:val="00505CF6"/>
    <w:rsid w:val="00505E11"/>
    <w:rsid w:val="00506001"/>
    <w:rsid w:val="00506265"/>
    <w:rsid w:val="00506D82"/>
    <w:rsid w:val="00507C9B"/>
    <w:rsid w:val="00510AEF"/>
    <w:rsid w:val="00511299"/>
    <w:rsid w:val="0051159D"/>
    <w:rsid w:val="00512237"/>
    <w:rsid w:val="00512971"/>
    <w:rsid w:val="00513848"/>
    <w:rsid w:val="0051399E"/>
    <w:rsid w:val="00513CF2"/>
    <w:rsid w:val="00513E35"/>
    <w:rsid w:val="005151F7"/>
    <w:rsid w:val="00516692"/>
    <w:rsid w:val="005204AF"/>
    <w:rsid w:val="00520BC5"/>
    <w:rsid w:val="00521279"/>
    <w:rsid w:val="00521985"/>
    <w:rsid w:val="005222DB"/>
    <w:rsid w:val="005228B8"/>
    <w:rsid w:val="005231C9"/>
    <w:rsid w:val="00523C5D"/>
    <w:rsid w:val="005240A6"/>
    <w:rsid w:val="005242C3"/>
    <w:rsid w:val="005250B8"/>
    <w:rsid w:val="00525144"/>
    <w:rsid w:val="005252B7"/>
    <w:rsid w:val="0052762C"/>
    <w:rsid w:val="00530513"/>
    <w:rsid w:val="00530E1C"/>
    <w:rsid w:val="00532F97"/>
    <w:rsid w:val="00533F04"/>
    <w:rsid w:val="00536EA7"/>
    <w:rsid w:val="00537EC8"/>
    <w:rsid w:val="00540155"/>
    <w:rsid w:val="00540A5F"/>
    <w:rsid w:val="005416C7"/>
    <w:rsid w:val="00541795"/>
    <w:rsid w:val="005445F2"/>
    <w:rsid w:val="00544D43"/>
    <w:rsid w:val="00545337"/>
    <w:rsid w:val="00546AE1"/>
    <w:rsid w:val="00550236"/>
    <w:rsid w:val="00550582"/>
    <w:rsid w:val="00553C0E"/>
    <w:rsid w:val="00554130"/>
    <w:rsid w:val="00555AC4"/>
    <w:rsid w:val="00555B0F"/>
    <w:rsid w:val="00555F5B"/>
    <w:rsid w:val="005560AE"/>
    <w:rsid w:val="00557F21"/>
    <w:rsid w:val="00560D22"/>
    <w:rsid w:val="005611C3"/>
    <w:rsid w:val="005629CA"/>
    <w:rsid w:val="00570B22"/>
    <w:rsid w:val="00572F0C"/>
    <w:rsid w:val="00573E6B"/>
    <w:rsid w:val="00574344"/>
    <w:rsid w:val="005746C4"/>
    <w:rsid w:val="00574943"/>
    <w:rsid w:val="0057526E"/>
    <w:rsid w:val="005758A5"/>
    <w:rsid w:val="00577347"/>
    <w:rsid w:val="00577C3E"/>
    <w:rsid w:val="0058367E"/>
    <w:rsid w:val="00583928"/>
    <w:rsid w:val="0058489A"/>
    <w:rsid w:val="005848B4"/>
    <w:rsid w:val="00585D02"/>
    <w:rsid w:val="00587B77"/>
    <w:rsid w:val="00587CCD"/>
    <w:rsid w:val="00590661"/>
    <w:rsid w:val="00590A1C"/>
    <w:rsid w:val="005913C3"/>
    <w:rsid w:val="0059185F"/>
    <w:rsid w:val="005A07FD"/>
    <w:rsid w:val="005A1033"/>
    <w:rsid w:val="005A1C23"/>
    <w:rsid w:val="005A23FC"/>
    <w:rsid w:val="005A5819"/>
    <w:rsid w:val="005B08D9"/>
    <w:rsid w:val="005B1143"/>
    <w:rsid w:val="005B1257"/>
    <w:rsid w:val="005B206D"/>
    <w:rsid w:val="005B2F08"/>
    <w:rsid w:val="005B3809"/>
    <w:rsid w:val="005B3BE8"/>
    <w:rsid w:val="005B47BE"/>
    <w:rsid w:val="005B56CC"/>
    <w:rsid w:val="005B5CF8"/>
    <w:rsid w:val="005B5EDA"/>
    <w:rsid w:val="005B72A6"/>
    <w:rsid w:val="005C0EE7"/>
    <w:rsid w:val="005C175A"/>
    <w:rsid w:val="005C3000"/>
    <w:rsid w:val="005C371F"/>
    <w:rsid w:val="005C4AA8"/>
    <w:rsid w:val="005C52AA"/>
    <w:rsid w:val="005C55D6"/>
    <w:rsid w:val="005C67B3"/>
    <w:rsid w:val="005D019B"/>
    <w:rsid w:val="005D0587"/>
    <w:rsid w:val="005D1A6B"/>
    <w:rsid w:val="005D1BD1"/>
    <w:rsid w:val="005D24A3"/>
    <w:rsid w:val="005D2891"/>
    <w:rsid w:val="005D38C7"/>
    <w:rsid w:val="005D492D"/>
    <w:rsid w:val="005D4E46"/>
    <w:rsid w:val="005D50D1"/>
    <w:rsid w:val="005D6040"/>
    <w:rsid w:val="005D66CD"/>
    <w:rsid w:val="005D76A9"/>
    <w:rsid w:val="005E1054"/>
    <w:rsid w:val="005E10C3"/>
    <w:rsid w:val="005E10ED"/>
    <w:rsid w:val="005E1F4D"/>
    <w:rsid w:val="005E223F"/>
    <w:rsid w:val="005E2347"/>
    <w:rsid w:val="005E2594"/>
    <w:rsid w:val="005E2ED2"/>
    <w:rsid w:val="005E57D5"/>
    <w:rsid w:val="005E6695"/>
    <w:rsid w:val="005F115C"/>
    <w:rsid w:val="005F1DBC"/>
    <w:rsid w:val="005F1DF0"/>
    <w:rsid w:val="005F2735"/>
    <w:rsid w:val="005F2B28"/>
    <w:rsid w:val="005F36A0"/>
    <w:rsid w:val="005F394C"/>
    <w:rsid w:val="005F4477"/>
    <w:rsid w:val="005F4DE5"/>
    <w:rsid w:val="005F5E45"/>
    <w:rsid w:val="005F617E"/>
    <w:rsid w:val="005F761A"/>
    <w:rsid w:val="005F7EC7"/>
    <w:rsid w:val="0060038E"/>
    <w:rsid w:val="0060096C"/>
    <w:rsid w:val="0060232E"/>
    <w:rsid w:val="006038FA"/>
    <w:rsid w:val="00603A4B"/>
    <w:rsid w:val="00604B4E"/>
    <w:rsid w:val="0060609D"/>
    <w:rsid w:val="0060618E"/>
    <w:rsid w:val="00606196"/>
    <w:rsid w:val="006102CF"/>
    <w:rsid w:val="00611205"/>
    <w:rsid w:val="00612EAD"/>
    <w:rsid w:val="006134F8"/>
    <w:rsid w:val="0061529E"/>
    <w:rsid w:val="006171C1"/>
    <w:rsid w:val="00617290"/>
    <w:rsid w:val="00617CA5"/>
    <w:rsid w:val="006211CC"/>
    <w:rsid w:val="00621398"/>
    <w:rsid w:val="0062181C"/>
    <w:rsid w:val="00622BF3"/>
    <w:rsid w:val="006258A4"/>
    <w:rsid w:val="00626B32"/>
    <w:rsid w:val="00627520"/>
    <w:rsid w:val="00627C96"/>
    <w:rsid w:val="00631652"/>
    <w:rsid w:val="00632521"/>
    <w:rsid w:val="00633436"/>
    <w:rsid w:val="00633D42"/>
    <w:rsid w:val="006364A1"/>
    <w:rsid w:val="00636AF6"/>
    <w:rsid w:val="0063755F"/>
    <w:rsid w:val="00642631"/>
    <w:rsid w:val="006432C9"/>
    <w:rsid w:val="0064372C"/>
    <w:rsid w:val="00643AE6"/>
    <w:rsid w:val="00643F42"/>
    <w:rsid w:val="006449BC"/>
    <w:rsid w:val="00645F45"/>
    <w:rsid w:val="00646A4C"/>
    <w:rsid w:val="00647E25"/>
    <w:rsid w:val="006508F4"/>
    <w:rsid w:val="00651676"/>
    <w:rsid w:val="00651C3D"/>
    <w:rsid w:val="006533AF"/>
    <w:rsid w:val="00653F8F"/>
    <w:rsid w:val="00654C0C"/>
    <w:rsid w:val="006553FD"/>
    <w:rsid w:val="006566E0"/>
    <w:rsid w:val="0066036C"/>
    <w:rsid w:val="00660691"/>
    <w:rsid w:val="006608D6"/>
    <w:rsid w:val="00662337"/>
    <w:rsid w:val="006627FF"/>
    <w:rsid w:val="0066386E"/>
    <w:rsid w:val="006638BE"/>
    <w:rsid w:val="0066437C"/>
    <w:rsid w:val="00665EA3"/>
    <w:rsid w:val="006668C5"/>
    <w:rsid w:val="00667D43"/>
    <w:rsid w:val="00667D4D"/>
    <w:rsid w:val="00667FD3"/>
    <w:rsid w:val="006710E2"/>
    <w:rsid w:val="00671935"/>
    <w:rsid w:val="00671DF3"/>
    <w:rsid w:val="006729B8"/>
    <w:rsid w:val="00675E07"/>
    <w:rsid w:val="00676305"/>
    <w:rsid w:val="00676D5E"/>
    <w:rsid w:val="00677AF9"/>
    <w:rsid w:val="00680A87"/>
    <w:rsid w:val="00680DEA"/>
    <w:rsid w:val="00681364"/>
    <w:rsid w:val="00681792"/>
    <w:rsid w:val="006817A1"/>
    <w:rsid w:val="006829A8"/>
    <w:rsid w:val="006843D6"/>
    <w:rsid w:val="006845C8"/>
    <w:rsid w:val="006848E3"/>
    <w:rsid w:val="006862B8"/>
    <w:rsid w:val="006867C9"/>
    <w:rsid w:val="00686D65"/>
    <w:rsid w:val="00687CD9"/>
    <w:rsid w:val="006904C2"/>
    <w:rsid w:val="00690D16"/>
    <w:rsid w:val="0069142D"/>
    <w:rsid w:val="00691498"/>
    <w:rsid w:val="00691830"/>
    <w:rsid w:val="00692601"/>
    <w:rsid w:val="006929A2"/>
    <w:rsid w:val="006942A5"/>
    <w:rsid w:val="00694D45"/>
    <w:rsid w:val="00694FF3"/>
    <w:rsid w:val="006956B6"/>
    <w:rsid w:val="006963C4"/>
    <w:rsid w:val="0069652F"/>
    <w:rsid w:val="00697C03"/>
    <w:rsid w:val="006A05D9"/>
    <w:rsid w:val="006A1E6F"/>
    <w:rsid w:val="006A26DC"/>
    <w:rsid w:val="006A2991"/>
    <w:rsid w:val="006A3579"/>
    <w:rsid w:val="006A5C10"/>
    <w:rsid w:val="006A6B6A"/>
    <w:rsid w:val="006A6E7A"/>
    <w:rsid w:val="006A75F8"/>
    <w:rsid w:val="006B0A6A"/>
    <w:rsid w:val="006B1443"/>
    <w:rsid w:val="006B2F98"/>
    <w:rsid w:val="006B3656"/>
    <w:rsid w:val="006B47AA"/>
    <w:rsid w:val="006B5299"/>
    <w:rsid w:val="006B534C"/>
    <w:rsid w:val="006B5482"/>
    <w:rsid w:val="006B56EA"/>
    <w:rsid w:val="006B57E5"/>
    <w:rsid w:val="006B5AA0"/>
    <w:rsid w:val="006B6A2F"/>
    <w:rsid w:val="006B6B96"/>
    <w:rsid w:val="006B6EC1"/>
    <w:rsid w:val="006B735A"/>
    <w:rsid w:val="006B7635"/>
    <w:rsid w:val="006B77AE"/>
    <w:rsid w:val="006C1805"/>
    <w:rsid w:val="006C1C6E"/>
    <w:rsid w:val="006C1FC0"/>
    <w:rsid w:val="006C2138"/>
    <w:rsid w:val="006C2AC2"/>
    <w:rsid w:val="006C2C87"/>
    <w:rsid w:val="006C4381"/>
    <w:rsid w:val="006C45B4"/>
    <w:rsid w:val="006C5162"/>
    <w:rsid w:val="006C5198"/>
    <w:rsid w:val="006C5555"/>
    <w:rsid w:val="006C796A"/>
    <w:rsid w:val="006D06AE"/>
    <w:rsid w:val="006D1816"/>
    <w:rsid w:val="006D25B9"/>
    <w:rsid w:val="006D2937"/>
    <w:rsid w:val="006D293D"/>
    <w:rsid w:val="006E0CA7"/>
    <w:rsid w:val="006E190D"/>
    <w:rsid w:val="006E1E56"/>
    <w:rsid w:val="006E2095"/>
    <w:rsid w:val="006E2345"/>
    <w:rsid w:val="006E2EC5"/>
    <w:rsid w:val="006E2F83"/>
    <w:rsid w:val="006E3C04"/>
    <w:rsid w:val="006E4D76"/>
    <w:rsid w:val="006E581F"/>
    <w:rsid w:val="006E7A93"/>
    <w:rsid w:val="006F0588"/>
    <w:rsid w:val="006F1801"/>
    <w:rsid w:val="006F3A5F"/>
    <w:rsid w:val="006F3F8A"/>
    <w:rsid w:val="006F5B15"/>
    <w:rsid w:val="00700046"/>
    <w:rsid w:val="00700771"/>
    <w:rsid w:val="00701593"/>
    <w:rsid w:val="0070159E"/>
    <w:rsid w:val="00701A88"/>
    <w:rsid w:val="00701BB8"/>
    <w:rsid w:val="007028AE"/>
    <w:rsid w:val="00703232"/>
    <w:rsid w:val="007032EB"/>
    <w:rsid w:val="0070435E"/>
    <w:rsid w:val="00704BB0"/>
    <w:rsid w:val="00704E44"/>
    <w:rsid w:val="00705979"/>
    <w:rsid w:val="00705F81"/>
    <w:rsid w:val="0071189D"/>
    <w:rsid w:val="0071196E"/>
    <w:rsid w:val="00714743"/>
    <w:rsid w:val="00714844"/>
    <w:rsid w:val="00715205"/>
    <w:rsid w:val="00715D64"/>
    <w:rsid w:val="00715DD6"/>
    <w:rsid w:val="00715FD3"/>
    <w:rsid w:val="00715FF4"/>
    <w:rsid w:val="00720001"/>
    <w:rsid w:val="0072259B"/>
    <w:rsid w:val="007232AF"/>
    <w:rsid w:val="00723776"/>
    <w:rsid w:val="00723DA7"/>
    <w:rsid w:val="00724A92"/>
    <w:rsid w:val="007254F4"/>
    <w:rsid w:val="00725A79"/>
    <w:rsid w:val="007262D2"/>
    <w:rsid w:val="00732D06"/>
    <w:rsid w:val="00733415"/>
    <w:rsid w:val="00733C6B"/>
    <w:rsid w:val="00733CB4"/>
    <w:rsid w:val="007356FE"/>
    <w:rsid w:val="0073650D"/>
    <w:rsid w:val="00736584"/>
    <w:rsid w:val="00741C8A"/>
    <w:rsid w:val="00742524"/>
    <w:rsid w:val="00743AD9"/>
    <w:rsid w:val="00745673"/>
    <w:rsid w:val="00745D5B"/>
    <w:rsid w:val="00746F2B"/>
    <w:rsid w:val="00746FA0"/>
    <w:rsid w:val="007470F9"/>
    <w:rsid w:val="0074733B"/>
    <w:rsid w:val="00747990"/>
    <w:rsid w:val="00747E53"/>
    <w:rsid w:val="007506BC"/>
    <w:rsid w:val="00752582"/>
    <w:rsid w:val="00753AA9"/>
    <w:rsid w:val="00754B44"/>
    <w:rsid w:val="00754DEA"/>
    <w:rsid w:val="0075568D"/>
    <w:rsid w:val="00755AC5"/>
    <w:rsid w:val="00756988"/>
    <w:rsid w:val="007570ED"/>
    <w:rsid w:val="00757D3B"/>
    <w:rsid w:val="0076053F"/>
    <w:rsid w:val="00760A5E"/>
    <w:rsid w:val="0076396B"/>
    <w:rsid w:val="00767A98"/>
    <w:rsid w:val="0077022F"/>
    <w:rsid w:val="007702B8"/>
    <w:rsid w:val="007717CD"/>
    <w:rsid w:val="0077193E"/>
    <w:rsid w:val="007726F6"/>
    <w:rsid w:val="00772B87"/>
    <w:rsid w:val="00772CE4"/>
    <w:rsid w:val="007739CD"/>
    <w:rsid w:val="007762BF"/>
    <w:rsid w:val="007822DE"/>
    <w:rsid w:val="0078292A"/>
    <w:rsid w:val="007835F0"/>
    <w:rsid w:val="007838A2"/>
    <w:rsid w:val="00783F76"/>
    <w:rsid w:val="00784ED5"/>
    <w:rsid w:val="00787554"/>
    <w:rsid w:val="00787A5F"/>
    <w:rsid w:val="00790457"/>
    <w:rsid w:val="0079171D"/>
    <w:rsid w:val="00791C9D"/>
    <w:rsid w:val="007925EE"/>
    <w:rsid w:val="007927C2"/>
    <w:rsid w:val="007929AF"/>
    <w:rsid w:val="00792C7A"/>
    <w:rsid w:val="00792E00"/>
    <w:rsid w:val="007956D1"/>
    <w:rsid w:val="007956EA"/>
    <w:rsid w:val="007A0659"/>
    <w:rsid w:val="007A177C"/>
    <w:rsid w:val="007A19F6"/>
    <w:rsid w:val="007A24A2"/>
    <w:rsid w:val="007A471F"/>
    <w:rsid w:val="007A56AA"/>
    <w:rsid w:val="007A71E8"/>
    <w:rsid w:val="007A7299"/>
    <w:rsid w:val="007B0C01"/>
    <w:rsid w:val="007B1698"/>
    <w:rsid w:val="007B169E"/>
    <w:rsid w:val="007B1A25"/>
    <w:rsid w:val="007B1F6F"/>
    <w:rsid w:val="007B1FF5"/>
    <w:rsid w:val="007B2F41"/>
    <w:rsid w:val="007B34EF"/>
    <w:rsid w:val="007B41F0"/>
    <w:rsid w:val="007B5218"/>
    <w:rsid w:val="007B5B36"/>
    <w:rsid w:val="007B64D4"/>
    <w:rsid w:val="007B6609"/>
    <w:rsid w:val="007B6899"/>
    <w:rsid w:val="007B7965"/>
    <w:rsid w:val="007B7C8C"/>
    <w:rsid w:val="007B7F51"/>
    <w:rsid w:val="007C2214"/>
    <w:rsid w:val="007C2FBB"/>
    <w:rsid w:val="007C4247"/>
    <w:rsid w:val="007C4799"/>
    <w:rsid w:val="007C532C"/>
    <w:rsid w:val="007C6780"/>
    <w:rsid w:val="007C7229"/>
    <w:rsid w:val="007C7AA7"/>
    <w:rsid w:val="007D098E"/>
    <w:rsid w:val="007D114D"/>
    <w:rsid w:val="007D12BC"/>
    <w:rsid w:val="007D2081"/>
    <w:rsid w:val="007D3481"/>
    <w:rsid w:val="007D3C62"/>
    <w:rsid w:val="007D507F"/>
    <w:rsid w:val="007D50E8"/>
    <w:rsid w:val="007D5655"/>
    <w:rsid w:val="007D58D7"/>
    <w:rsid w:val="007D5E10"/>
    <w:rsid w:val="007D6DC4"/>
    <w:rsid w:val="007E0C49"/>
    <w:rsid w:val="007E1448"/>
    <w:rsid w:val="007E1A78"/>
    <w:rsid w:val="007E362B"/>
    <w:rsid w:val="007E3D6D"/>
    <w:rsid w:val="007E50E0"/>
    <w:rsid w:val="007E68C8"/>
    <w:rsid w:val="007E6C88"/>
    <w:rsid w:val="007E7C99"/>
    <w:rsid w:val="007F18AB"/>
    <w:rsid w:val="007F1BD8"/>
    <w:rsid w:val="007F243C"/>
    <w:rsid w:val="007F275E"/>
    <w:rsid w:val="007F44D0"/>
    <w:rsid w:val="007F49E6"/>
    <w:rsid w:val="007F523F"/>
    <w:rsid w:val="007F57F4"/>
    <w:rsid w:val="007F6363"/>
    <w:rsid w:val="007F6B44"/>
    <w:rsid w:val="00800CDC"/>
    <w:rsid w:val="0080136D"/>
    <w:rsid w:val="00801C85"/>
    <w:rsid w:val="00801DFC"/>
    <w:rsid w:val="00802661"/>
    <w:rsid w:val="00802B2D"/>
    <w:rsid w:val="00804281"/>
    <w:rsid w:val="00805CBE"/>
    <w:rsid w:val="00806D2C"/>
    <w:rsid w:val="0080729D"/>
    <w:rsid w:val="00807709"/>
    <w:rsid w:val="00810A2E"/>
    <w:rsid w:val="00811089"/>
    <w:rsid w:val="008113AA"/>
    <w:rsid w:val="0081167B"/>
    <w:rsid w:val="00812F0E"/>
    <w:rsid w:val="008133BD"/>
    <w:rsid w:val="00813A65"/>
    <w:rsid w:val="00814E50"/>
    <w:rsid w:val="00814F86"/>
    <w:rsid w:val="0081782F"/>
    <w:rsid w:val="00821479"/>
    <w:rsid w:val="00821683"/>
    <w:rsid w:val="00822DC5"/>
    <w:rsid w:val="0082362F"/>
    <w:rsid w:val="00824B5B"/>
    <w:rsid w:val="00824BE9"/>
    <w:rsid w:val="00833C56"/>
    <w:rsid w:val="00835BE4"/>
    <w:rsid w:val="008376B2"/>
    <w:rsid w:val="00840135"/>
    <w:rsid w:val="008402E6"/>
    <w:rsid w:val="00840A78"/>
    <w:rsid w:val="008414D9"/>
    <w:rsid w:val="00842BD8"/>
    <w:rsid w:val="00844286"/>
    <w:rsid w:val="00844AF3"/>
    <w:rsid w:val="00846EC6"/>
    <w:rsid w:val="00847245"/>
    <w:rsid w:val="00847909"/>
    <w:rsid w:val="00847D79"/>
    <w:rsid w:val="008525EC"/>
    <w:rsid w:val="00853163"/>
    <w:rsid w:val="00856F5E"/>
    <w:rsid w:val="0085716C"/>
    <w:rsid w:val="008571FC"/>
    <w:rsid w:val="0085754F"/>
    <w:rsid w:val="00857846"/>
    <w:rsid w:val="008578ED"/>
    <w:rsid w:val="00860EA7"/>
    <w:rsid w:val="008622F3"/>
    <w:rsid w:val="00863215"/>
    <w:rsid w:val="00863267"/>
    <w:rsid w:val="008636D8"/>
    <w:rsid w:val="008636DC"/>
    <w:rsid w:val="008641BA"/>
    <w:rsid w:val="00864383"/>
    <w:rsid w:val="00864CBB"/>
    <w:rsid w:val="00864D8F"/>
    <w:rsid w:val="00864E14"/>
    <w:rsid w:val="008662E9"/>
    <w:rsid w:val="00866BE2"/>
    <w:rsid w:val="00867B8B"/>
    <w:rsid w:val="008703CF"/>
    <w:rsid w:val="00870F21"/>
    <w:rsid w:val="008736A9"/>
    <w:rsid w:val="00873E52"/>
    <w:rsid w:val="008745D1"/>
    <w:rsid w:val="0087635B"/>
    <w:rsid w:val="0087730F"/>
    <w:rsid w:val="0087744B"/>
    <w:rsid w:val="00877D7E"/>
    <w:rsid w:val="00881243"/>
    <w:rsid w:val="00881C91"/>
    <w:rsid w:val="00881DD5"/>
    <w:rsid w:val="00881FC3"/>
    <w:rsid w:val="00883A26"/>
    <w:rsid w:val="0088419E"/>
    <w:rsid w:val="00884841"/>
    <w:rsid w:val="00885ADD"/>
    <w:rsid w:val="00885BDC"/>
    <w:rsid w:val="0088694F"/>
    <w:rsid w:val="00886DCB"/>
    <w:rsid w:val="00886F10"/>
    <w:rsid w:val="008876C8"/>
    <w:rsid w:val="00891062"/>
    <w:rsid w:val="00892E35"/>
    <w:rsid w:val="00893679"/>
    <w:rsid w:val="008954D9"/>
    <w:rsid w:val="00896276"/>
    <w:rsid w:val="008966C6"/>
    <w:rsid w:val="008973F2"/>
    <w:rsid w:val="008A0426"/>
    <w:rsid w:val="008A1DE4"/>
    <w:rsid w:val="008A361D"/>
    <w:rsid w:val="008A453F"/>
    <w:rsid w:val="008A46F8"/>
    <w:rsid w:val="008A493C"/>
    <w:rsid w:val="008A62DB"/>
    <w:rsid w:val="008A68FA"/>
    <w:rsid w:val="008A7A32"/>
    <w:rsid w:val="008A7B9F"/>
    <w:rsid w:val="008B023D"/>
    <w:rsid w:val="008B22EF"/>
    <w:rsid w:val="008B41EF"/>
    <w:rsid w:val="008B621C"/>
    <w:rsid w:val="008B654F"/>
    <w:rsid w:val="008B7237"/>
    <w:rsid w:val="008B741A"/>
    <w:rsid w:val="008B7513"/>
    <w:rsid w:val="008C0B32"/>
    <w:rsid w:val="008C1F15"/>
    <w:rsid w:val="008C2B38"/>
    <w:rsid w:val="008C377C"/>
    <w:rsid w:val="008C441E"/>
    <w:rsid w:val="008C4904"/>
    <w:rsid w:val="008D0373"/>
    <w:rsid w:val="008D0920"/>
    <w:rsid w:val="008D0A84"/>
    <w:rsid w:val="008D1167"/>
    <w:rsid w:val="008D289F"/>
    <w:rsid w:val="008D2BF0"/>
    <w:rsid w:val="008D3FC2"/>
    <w:rsid w:val="008D581A"/>
    <w:rsid w:val="008D5C90"/>
    <w:rsid w:val="008D7471"/>
    <w:rsid w:val="008D7E3F"/>
    <w:rsid w:val="008E0117"/>
    <w:rsid w:val="008E251E"/>
    <w:rsid w:val="008E26E5"/>
    <w:rsid w:val="008E2704"/>
    <w:rsid w:val="008E5926"/>
    <w:rsid w:val="008E6CEF"/>
    <w:rsid w:val="008F1BAD"/>
    <w:rsid w:val="008F1D2A"/>
    <w:rsid w:val="008F2573"/>
    <w:rsid w:val="008F3587"/>
    <w:rsid w:val="008F4D1C"/>
    <w:rsid w:val="008F626F"/>
    <w:rsid w:val="008F64EA"/>
    <w:rsid w:val="008F6A0B"/>
    <w:rsid w:val="008F6EB8"/>
    <w:rsid w:val="008F7710"/>
    <w:rsid w:val="008F79DC"/>
    <w:rsid w:val="00902F04"/>
    <w:rsid w:val="00904FF0"/>
    <w:rsid w:val="00905850"/>
    <w:rsid w:val="00906AC0"/>
    <w:rsid w:val="00906F06"/>
    <w:rsid w:val="00910D5E"/>
    <w:rsid w:val="0091286C"/>
    <w:rsid w:val="009134BB"/>
    <w:rsid w:val="00913EBF"/>
    <w:rsid w:val="0091681C"/>
    <w:rsid w:val="009169D7"/>
    <w:rsid w:val="0092005C"/>
    <w:rsid w:val="00920A7C"/>
    <w:rsid w:val="00920DCA"/>
    <w:rsid w:val="0092111B"/>
    <w:rsid w:val="009217FA"/>
    <w:rsid w:val="009219B2"/>
    <w:rsid w:val="00921E3B"/>
    <w:rsid w:val="00923FDF"/>
    <w:rsid w:val="00924AA5"/>
    <w:rsid w:val="009250F5"/>
    <w:rsid w:val="00927365"/>
    <w:rsid w:val="00930F4A"/>
    <w:rsid w:val="009311F5"/>
    <w:rsid w:val="00932A87"/>
    <w:rsid w:val="0093335D"/>
    <w:rsid w:val="00933716"/>
    <w:rsid w:val="00935730"/>
    <w:rsid w:val="00935D88"/>
    <w:rsid w:val="00940C65"/>
    <w:rsid w:val="009415F6"/>
    <w:rsid w:val="00943CC4"/>
    <w:rsid w:val="00944342"/>
    <w:rsid w:val="0094466E"/>
    <w:rsid w:val="00946876"/>
    <w:rsid w:val="00947C73"/>
    <w:rsid w:val="00950078"/>
    <w:rsid w:val="00950F97"/>
    <w:rsid w:val="0095131C"/>
    <w:rsid w:val="009519D2"/>
    <w:rsid w:val="0095268D"/>
    <w:rsid w:val="00952DC1"/>
    <w:rsid w:val="00953BC0"/>
    <w:rsid w:val="009544D6"/>
    <w:rsid w:val="0095503E"/>
    <w:rsid w:val="00955417"/>
    <w:rsid w:val="00956194"/>
    <w:rsid w:val="0095725D"/>
    <w:rsid w:val="00960A54"/>
    <w:rsid w:val="00961075"/>
    <w:rsid w:val="009614AA"/>
    <w:rsid w:val="00961A04"/>
    <w:rsid w:val="00962984"/>
    <w:rsid w:val="009629B1"/>
    <w:rsid w:val="009629BE"/>
    <w:rsid w:val="009651A5"/>
    <w:rsid w:val="009654D3"/>
    <w:rsid w:val="00965FA0"/>
    <w:rsid w:val="009725ED"/>
    <w:rsid w:val="009748B8"/>
    <w:rsid w:val="009749A8"/>
    <w:rsid w:val="00974C4F"/>
    <w:rsid w:val="00976C7F"/>
    <w:rsid w:val="00976E14"/>
    <w:rsid w:val="00977CAB"/>
    <w:rsid w:val="0098163F"/>
    <w:rsid w:val="00982AB7"/>
    <w:rsid w:val="00982E12"/>
    <w:rsid w:val="009837C0"/>
    <w:rsid w:val="0098483B"/>
    <w:rsid w:val="009910F6"/>
    <w:rsid w:val="00993F66"/>
    <w:rsid w:val="00994868"/>
    <w:rsid w:val="00995258"/>
    <w:rsid w:val="00995467"/>
    <w:rsid w:val="009955C3"/>
    <w:rsid w:val="00995D9F"/>
    <w:rsid w:val="009A1063"/>
    <w:rsid w:val="009A2FC3"/>
    <w:rsid w:val="009A4886"/>
    <w:rsid w:val="009A5BC2"/>
    <w:rsid w:val="009A6977"/>
    <w:rsid w:val="009A736E"/>
    <w:rsid w:val="009B0384"/>
    <w:rsid w:val="009B0B7C"/>
    <w:rsid w:val="009B15E4"/>
    <w:rsid w:val="009B18ED"/>
    <w:rsid w:val="009B220F"/>
    <w:rsid w:val="009B3604"/>
    <w:rsid w:val="009B4166"/>
    <w:rsid w:val="009B45C9"/>
    <w:rsid w:val="009B4AF7"/>
    <w:rsid w:val="009B4C63"/>
    <w:rsid w:val="009B51E1"/>
    <w:rsid w:val="009B5944"/>
    <w:rsid w:val="009B5BD1"/>
    <w:rsid w:val="009B757E"/>
    <w:rsid w:val="009B7C38"/>
    <w:rsid w:val="009C0FDE"/>
    <w:rsid w:val="009C2785"/>
    <w:rsid w:val="009C4CC9"/>
    <w:rsid w:val="009C4ED6"/>
    <w:rsid w:val="009C72F5"/>
    <w:rsid w:val="009C75CC"/>
    <w:rsid w:val="009D1239"/>
    <w:rsid w:val="009D14E8"/>
    <w:rsid w:val="009D23D6"/>
    <w:rsid w:val="009D27A5"/>
    <w:rsid w:val="009D2A04"/>
    <w:rsid w:val="009D2EC5"/>
    <w:rsid w:val="009D3156"/>
    <w:rsid w:val="009D3384"/>
    <w:rsid w:val="009D368A"/>
    <w:rsid w:val="009D5A10"/>
    <w:rsid w:val="009D5A43"/>
    <w:rsid w:val="009D6DCA"/>
    <w:rsid w:val="009D76BF"/>
    <w:rsid w:val="009E0573"/>
    <w:rsid w:val="009E1CC0"/>
    <w:rsid w:val="009E389C"/>
    <w:rsid w:val="009E4885"/>
    <w:rsid w:val="009E5C01"/>
    <w:rsid w:val="009E5D5A"/>
    <w:rsid w:val="009E60E4"/>
    <w:rsid w:val="009E6437"/>
    <w:rsid w:val="009E6D45"/>
    <w:rsid w:val="009E71BF"/>
    <w:rsid w:val="009E7F1C"/>
    <w:rsid w:val="009E7FB3"/>
    <w:rsid w:val="009F0BB8"/>
    <w:rsid w:val="009F2414"/>
    <w:rsid w:val="009F2C1B"/>
    <w:rsid w:val="009F2C8C"/>
    <w:rsid w:val="009F38D4"/>
    <w:rsid w:val="009F5C6E"/>
    <w:rsid w:val="009F71EF"/>
    <w:rsid w:val="00A01481"/>
    <w:rsid w:val="00A025D1"/>
    <w:rsid w:val="00A02F76"/>
    <w:rsid w:val="00A03DEF"/>
    <w:rsid w:val="00A0561D"/>
    <w:rsid w:val="00A07479"/>
    <w:rsid w:val="00A07508"/>
    <w:rsid w:val="00A10540"/>
    <w:rsid w:val="00A12A22"/>
    <w:rsid w:val="00A1315D"/>
    <w:rsid w:val="00A14845"/>
    <w:rsid w:val="00A14F58"/>
    <w:rsid w:val="00A16FBD"/>
    <w:rsid w:val="00A17303"/>
    <w:rsid w:val="00A173F5"/>
    <w:rsid w:val="00A17BE5"/>
    <w:rsid w:val="00A17EF0"/>
    <w:rsid w:val="00A20E78"/>
    <w:rsid w:val="00A2286F"/>
    <w:rsid w:val="00A2631A"/>
    <w:rsid w:val="00A2793B"/>
    <w:rsid w:val="00A31051"/>
    <w:rsid w:val="00A34FF4"/>
    <w:rsid w:val="00A35413"/>
    <w:rsid w:val="00A354CE"/>
    <w:rsid w:val="00A36BED"/>
    <w:rsid w:val="00A374AD"/>
    <w:rsid w:val="00A404E3"/>
    <w:rsid w:val="00A42292"/>
    <w:rsid w:val="00A422D6"/>
    <w:rsid w:val="00A42771"/>
    <w:rsid w:val="00A42AE1"/>
    <w:rsid w:val="00A45C9D"/>
    <w:rsid w:val="00A5067B"/>
    <w:rsid w:val="00A50820"/>
    <w:rsid w:val="00A518B9"/>
    <w:rsid w:val="00A51F5B"/>
    <w:rsid w:val="00A523F0"/>
    <w:rsid w:val="00A52546"/>
    <w:rsid w:val="00A52711"/>
    <w:rsid w:val="00A5286D"/>
    <w:rsid w:val="00A52B99"/>
    <w:rsid w:val="00A53B04"/>
    <w:rsid w:val="00A53B3B"/>
    <w:rsid w:val="00A54A23"/>
    <w:rsid w:val="00A54A33"/>
    <w:rsid w:val="00A554FE"/>
    <w:rsid w:val="00A55512"/>
    <w:rsid w:val="00A5596C"/>
    <w:rsid w:val="00A57B86"/>
    <w:rsid w:val="00A60093"/>
    <w:rsid w:val="00A60AAC"/>
    <w:rsid w:val="00A617CA"/>
    <w:rsid w:val="00A62354"/>
    <w:rsid w:val="00A62379"/>
    <w:rsid w:val="00A648D2"/>
    <w:rsid w:val="00A654AC"/>
    <w:rsid w:val="00A65DF6"/>
    <w:rsid w:val="00A6760A"/>
    <w:rsid w:val="00A67870"/>
    <w:rsid w:val="00A678D0"/>
    <w:rsid w:val="00A70129"/>
    <w:rsid w:val="00A703DE"/>
    <w:rsid w:val="00A709D6"/>
    <w:rsid w:val="00A70BD9"/>
    <w:rsid w:val="00A71848"/>
    <w:rsid w:val="00A71DAE"/>
    <w:rsid w:val="00A71F5B"/>
    <w:rsid w:val="00A72267"/>
    <w:rsid w:val="00A72AD6"/>
    <w:rsid w:val="00A7374C"/>
    <w:rsid w:val="00A74E18"/>
    <w:rsid w:val="00A755A0"/>
    <w:rsid w:val="00A757D9"/>
    <w:rsid w:val="00A75816"/>
    <w:rsid w:val="00A774F6"/>
    <w:rsid w:val="00A77734"/>
    <w:rsid w:val="00A777A0"/>
    <w:rsid w:val="00A801F3"/>
    <w:rsid w:val="00A803C2"/>
    <w:rsid w:val="00A81DEF"/>
    <w:rsid w:val="00A83CB8"/>
    <w:rsid w:val="00A84F0A"/>
    <w:rsid w:val="00A84FD9"/>
    <w:rsid w:val="00A8590E"/>
    <w:rsid w:val="00A871B4"/>
    <w:rsid w:val="00A904BA"/>
    <w:rsid w:val="00A90E0C"/>
    <w:rsid w:val="00A93890"/>
    <w:rsid w:val="00A9398F"/>
    <w:rsid w:val="00A93BEC"/>
    <w:rsid w:val="00A941C2"/>
    <w:rsid w:val="00A954C3"/>
    <w:rsid w:val="00A9555E"/>
    <w:rsid w:val="00A95A9F"/>
    <w:rsid w:val="00A97004"/>
    <w:rsid w:val="00A97367"/>
    <w:rsid w:val="00A97841"/>
    <w:rsid w:val="00AA072C"/>
    <w:rsid w:val="00AA6D89"/>
    <w:rsid w:val="00AA78FA"/>
    <w:rsid w:val="00AA7AD9"/>
    <w:rsid w:val="00AA7ED0"/>
    <w:rsid w:val="00AB01B9"/>
    <w:rsid w:val="00AB1747"/>
    <w:rsid w:val="00AB464C"/>
    <w:rsid w:val="00AB4CA1"/>
    <w:rsid w:val="00AB5730"/>
    <w:rsid w:val="00AB5B89"/>
    <w:rsid w:val="00AB65C0"/>
    <w:rsid w:val="00AB7E40"/>
    <w:rsid w:val="00AC2EC9"/>
    <w:rsid w:val="00AC3258"/>
    <w:rsid w:val="00AC49A7"/>
    <w:rsid w:val="00AC6771"/>
    <w:rsid w:val="00AC714F"/>
    <w:rsid w:val="00AD0805"/>
    <w:rsid w:val="00AD1B5D"/>
    <w:rsid w:val="00AD1E8A"/>
    <w:rsid w:val="00AD2678"/>
    <w:rsid w:val="00AD2832"/>
    <w:rsid w:val="00AD29BA"/>
    <w:rsid w:val="00AD5EFF"/>
    <w:rsid w:val="00AD72C3"/>
    <w:rsid w:val="00AD7551"/>
    <w:rsid w:val="00AD7B4C"/>
    <w:rsid w:val="00AD7FCB"/>
    <w:rsid w:val="00AE0B7F"/>
    <w:rsid w:val="00AE0B8F"/>
    <w:rsid w:val="00AE1CEA"/>
    <w:rsid w:val="00AE2685"/>
    <w:rsid w:val="00AE34F1"/>
    <w:rsid w:val="00AE3A55"/>
    <w:rsid w:val="00AE479F"/>
    <w:rsid w:val="00AE607F"/>
    <w:rsid w:val="00AE6BCA"/>
    <w:rsid w:val="00AE6FD1"/>
    <w:rsid w:val="00AE7FC2"/>
    <w:rsid w:val="00AF0501"/>
    <w:rsid w:val="00AF0DEF"/>
    <w:rsid w:val="00AF1500"/>
    <w:rsid w:val="00AF18E0"/>
    <w:rsid w:val="00AF1A64"/>
    <w:rsid w:val="00AF207A"/>
    <w:rsid w:val="00AF332B"/>
    <w:rsid w:val="00AF3713"/>
    <w:rsid w:val="00B002F2"/>
    <w:rsid w:val="00B00314"/>
    <w:rsid w:val="00B0059E"/>
    <w:rsid w:val="00B006BD"/>
    <w:rsid w:val="00B00FCF"/>
    <w:rsid w:val="00B0288E"/>
    <w:rsid w:val="00B02CE6"/>
    <w:rsid w:val="00B02D85"/>
    <w:rsid w:val="00B032EE"/>
    <w:rsid w:val="00B03B7C"/>
    <w:rsid w:val="00B03CB7"/>
    <w:rsid w:val="00B041A7"/>
    <w:rsid w:val="00B05B01"/>
    <w:rsid w:val="00B06DAB"/>
    <w:rsid w:val="00B079A4"/>
    <w:rsid w:val="00B07B93"/>
    <w:rsid w:val="00B11234"/>
    <w:rsid w:val="00B13D0E"/>
    <w:rsid w:val="00B1411F"/>
    <w:rsid w:val="00B145AE"/>
    <w:rsid w:val="00B14A75"/>
    <w:rsid w:val="00B15DE9"/>
    <w:rsid w:val="00B164AF"/>
    <w:rsid w:val="00B219AA"/>
    <w:rsid w:val="00B23143"/>
    <w:rsid w:val="00B23986"/>
    <w:rsid w:val="00B23E9A"/>
    <w:rsid w:val="00B24165"/>
    <w:rsid w:val="00B25270"/>
    <w:rsid w:val="00B25649"/>
    <w:rsid w:val="00B26C61"/>
    <w:rsid w:val="00B275B9"/>
    <w:rsid w:val="00B27A94"/>
    <w:rsid w:val="00B3486A"/>
    <w:rsid w:val="00B351B8"/>
    <w:rsid w:val="00B3535E"/>
    <w:rsid w:val="00B36AB5"/>
    <w:rsid w:val="00B376FC"/>
    <w:rsid w:val="00B37AFF"/>
    <w:rsid w:val="00B404E1"/>
    <w:rsid w:val="00B40588"/>
    <w:rsid w:val="00B41163"/>
    <w:rsid w:val="00B421D3"/>
    <w:rsid w:val="00B422A8"/>
    <w:rsid w:val="00B43445"/>
    <w:rsid w:val="00B4348E"/>
    <w:rsid w:val="00B44D15"/>
    <w:rsid w:val="00B46211"/>
    <w:rsid w:val="00B47E94"/>
    <w:rsid w:val="00B5096D"/>
    <w:rsid w:val="00B5102D"/>
    <w:rsid w:val="00B516EF"/>
    <w:rsid w:val="00B51B7C"/>
    <w:rsid w:val="00B51F63"/>
    <w:rsid w:val="00B5203B"/>
    <w:rsid w:val="00B524E9"/>
    <w:rsid w:val="00B5339B"/>
    <w:rsid w:val="00B54084"/>
    <w:rsid w:val="00B551F6"/>
    <w:rsid w:val="00B55A51"/>
    <w:rsid w:val="00B5635C"/>
    <w:rsid w:val="00B6025F"/>
    <w:rsid w:val="00B6135D"/>
    <w:rsid w:val="00B621E7"/>
    <w:rsid w:val="00B639DA"/>
    <w:rsid w:val="00B63FF7"/>
    <w:rsid w:val="00B645B8"/>
    <w:rsid w:val="00B653F4"/>
    <w:rsid w:val="00B664DA"/>
    <w:rsid w:val="00B6659D"/>
    <w:rsid w:val="00B67B0B"/>
    <w:rsid w:val="00B707D6"/>
    <w:rsid w:val="00B70E0A"/>
    <w:rsid w:val="00B716F8"/>
    <w:rsid w:val="00B718D0"/>
    <w:rsid w:val="00B71D65"/>
    <w:rsid w:val="00B72E1E"/>
    <w:rsid w:val="00B73B42"/>
    <w:rsid w:val="00B75254"/>
    <w:rsid w:val="00B75C2A"/>
    <w:rsid w:val="00B76DE4"/>
    <w:rsid w:val="00B77A23"/>
    <w:rsid w:val="00B80171"/>
    <w:rsid w:val="00B803D8"/>
    <w:rsid w:val="00B80483"/>
    <w:rsid w:val="00B80F4F"/>
    <w:rsid w:val="00B84541"/>
    <w:rsid w:val="00B85DF4"/>
    <w:rsid w:val="00B87864"/>
    <w:rsid w:val="00B90DA8"/>
    <w:rsid w:val="00B9405E"/>
    <w:rsid w:val="00B95639"/>
    <w:rsid w:val="00B959E6"/>
    <w:rsid w:val="00B9650B"/>
    <w:rsid w:val="00B97500"/>
    <w:rsid w:val="00BA0C2F"/>
    <w:rsid w:val="00BA1174"/>
    <w:rsid w:val="00BA132B"/>
    <w:rsid w:val="00BA1986"/>
    <w:rsid w:val="00BA1EE2"/>
    <w:rsid w:val="00BA2403"/>
    <w:rsid w:val="00BA2440"/>
    <w:rsid w:val="00BA26F8"/>
    <w:rsid w:val="00BA323C"/>
    <w:rsid w:val="00BA3BB2"/>
    <w:rsid w:val="00BA55F9"/>
    <w:rsid w:val="00BA6246"/>
    <w:rsid w:val="00BA6542"/>
    <w:rsid w:val="00BA6FF5"/>
    <w:rsid w:val="00BA728C"/>
    <w:rsid w:val="00BA752B"/>
    <w:rsid w:val="00BB0A49"/>
    <w:rsid w:val="00BB150A"/>
    <w:rsid w:val="00BB2273"/>
    <w:rsid w:val="00BB2A8B"/>
    <w:rsid w:val="00BB3A1B"/>
    <w:rsid w:val="00BB4974"/>
    <w:rsid w:val="00BB6262"/>
    <w:rsid w:val="00BC0D4D"/>
    <w:rsid w:val="00BC14A3"/>
    <w:rsid w:val="00BC219C"/>
    <w:rsid w:val="00BC2DFB"/>
    <w:rsid w:val="00BC3DB4"/>
    <w:rsid w:val="00BC3E70"/>
    <w:rsid w:val="00BC53BB"/>
    <w:rsid w:val="00BC5424"/>
    <w:rsid w:val="00BC6E03"/>
    <w:rsid w:val="00BC732C"/>
    <w:rsid w:val="00BC7355"/>
    <w:rsid w:val="00BC798C"/>
    <w:rsid w:val="00BC7E60"/>
    <w:rsid w:val="00BD03C7"/>
    <w:rsid w:val="00BD14F4"/>
    <w:rsid w:val="00BD1E76"/>
    <w:rsid w:val="00BD25D4"/>
    <w:rsid w:val="00BD285B"/>
    <w:rsid w:val="00BD348D"/>
    <w:rsid w:val="00BD4A91"/>
    <w:rsid w:val="00BD4FB0"/>
    <w:rsid w:val="00BD5A43"/>
    <w:rsid w:val="00BD66A9"/>
    <w:rsid w:val="00BD6C27"/>
    <w:rsid w:val="00BD73F8"/>
    <w:rsid w:val="00BD7984"/>
    <w:rsid w:val="00BE0DEE"/>
    <w:rsid w:val="00BE10D9"/>
    <w:rsid w:val="00BE4024"/>
    <w:rsid w:val="00BE4829"/>
    <w:rsid w:val="00BE4DDD"/>
    <w:rsid w:val="00BE4E61"/>
    <w:rsid w:val="00BE5296"/>
    <w:rsid w:val="00BE568C"/>
    <w:rsid w:val="00BE5EFB"/>
    <w:rsid w:val="00BE679A"/>
    <w:rsid w:val="00BE6D0A"/>
    <w:rsid w:val="00BE6E6E"/>
    <w:rsid w:val="00BF096F"/>
    <w:rsid w:val="00BF15FC"/>
    <w:rsid w:val="00BF16FB"/>
    <w:rsid w:val="00BF1B97"/>
    <w:rsid w:val="00BF3182"/>
    <w:rsid w:val="00BF3EF2"/>
    <w:rsid w:val="00BF3F23"/>
    <w:rsid w:val="00BF485D"/>
    <w:rsid w:val="00BF4C21"/>
    <w:rsid w:val="00BF4CEF"/>
    <w:rsid w:val="00BF5F58"/>
    <w:rsid w:val="00BF61B9"/>
    <w:rsid w:val="00BF642B"/>
    <w:rsid w:val="00BF70F6"/>
    <w:rsid w:val="00C01436"/>
    <w:rsid w:val="00C01B42"/>
    <w:rsid w:val="00C0258A"/>
    <w:rsid w:val="00C02F9E"/>
    <w:rsid w:val="00C045EB"/>
    <w:rsid w:val="00C057FE"/>
    <w:rsid w:val="00C05D22"/>
    <w:rsid w:val="00C0612F"/>
    <w:rsid w:val="00C073AD"/>
    <w:rsid w:val="00C107A8"/>
    <w:rsid w:val="00C10C76"/>
    <w:rsid w:val="00C10D7B"/>
    <w:rsid w:val="00C120A7"/>
    <w:rsid w:val="00C12226"/>
    <w:rsid w:val="00C12EBC"/>
    <w:rsid w:val="00C14780"/>
    <w:rsid w:val="00C16D6F"/>
    <w:rsid w:val="00C17A69"/>
    <w:rsid w:val="00C17D6F"/>
    <w:rsid w:val="00C201C2"/>
    <w:rsid w:val="00C20690"/>
    <w:rsid w:val="00C21197"/>
    <w:rsid w:val="00C220F3"/>
    <w:rsid w:val="00C23EE0"/>
    <w:rsid w:val="00C254BD"/>
    <w:rsid w:val="00C27E1C"/>
    <w:rsid w:val="00C31A64"/>
    <w:rsid w:val="00C32B39"/>
    <w:rsid w:val="00C33999"/>
    <w:rsid w:val="00C33D24"/>
    <w:rsid w:val="00C342B4"/>
    <w:rsid w:val="00C34BA8"/>
    <w:rsid w:val="00C353E4"/>
    <w:rsid w:val="00C36E02"/>
    <w:rsid w:val="00C377BE"/>
    <w:rsid w:val="00C4028F"/>
    <w:rsid w:val="00C41AF1"/>
    <w:rsid w:val="00C42517"/>
    <w:rsid w:val="00C43C36"/>
    <w:rsid w:val="00C44089"/>
    <w:rsid w:val="00C446E6"/>
    <w:rsid w:val="00C44812"/>
    <w:rsid w:val="00C45290"/>
    <w:rsid w:val="00C4602C"/>
    <w:rsid w:val="00C46D8E"/>
    <w:rsid w:val="00C51082"/>
    <w:rsid w:val="00C513BC"/>
    <w:rsid w:val="00C51586"/>
    <w:rsid w:val="00C51850"/>
    <w:rsid w:val="00C52847"/>
    <w:rsid w:val="00C52C38"/>
    <w:rsid w:val="00C53455"/>
    <w:rsid w:val="00C5367A"/>
    <w:rsid w:val="00C53D44"/>
    <w:rsid w:val="00C54217"/>
    <w:rsid w:val="00C54461"/>
    <w:rsid w:val="00C551B8"/>
    <w:rsid w:val="00C55A5E"/>
    <w:rsid w:val="00C57D5F"/>
    <w:rsid w:val="00C60731"/>
    <w:rsid w:val="00C61724"/>
    <w:rsid w:val="00C61B58"/>
    <w:rsid w:val="00C61C61"/>
    <w:rsid w:val="00C61D15"/>
    <w:rsid w:val="00C6210D"/>
    <w:rsid w:val="00C62125"/>
    <w:rsid w:val="00C650E1"/>
    <w:rsid w:val="00C66D41"/>
    <w:rsid w:val="00C66D90"/>
    <w:rsid w:val="00C67002"/>
    <w:rsid w:val="00C67537"/>
    <w:rsid w:val="00C70CD5"/>
    <w:rsid w:val="00C71CC0"/>
    <w:rsid w:val="00C71DF9"/>
    <w:rsid w:val="00C72A85"/>
    <w:rsid w:val="00C73ADA"/>
    <w:rsid w:val="00C75715"/>
    <w:rsid w:val="00C8015D"/>
    <w:rsid w:val="00C81B0A"/>
    <w:rsid w:val="00C820A9"/>
    <w:rsid w:val="00C83224"/>
    <w:rsid w:val="00C83BDD"/>
    <w:rsid w:val="00C84084"/>
    <w:rsid w:val="00C8476C"/>
    <w:rsid w:val="00C8495A"/>
    <w:rsid w:val="00C84D89"/>
    <w:rsid w:val="00C84DD0"/>
    <w:rsid w:val="00C86EDC"/>
    <w:rsid w:val="00C87F76"/>
    <w:rsid w:val="00C87F8C"/>
    <w:rsid w:val="00C902DA"/>
    <w:rsid w:val="00C92192"/>
    <w:rsid w:val="00C937E4"/>
    <w:rsid w:val="00C938AC"/>
    <w:rsid w:val="00C939DC"/>
    <w:rsid w:val="00C95737"/>
    <w:rsid w:val="00C96520"/>
    <w:rsid w:val="00C96A35"/>
    <w:rsid w:val="00C971B6"/>
    <w:rsid w:val="00CA0286"/>
    <w:rsid w:val="00CA0B1C"/>
    <w:rsid w:val="00CA1252"/>
    <w:rsid w:val="00CA16DE"/>
    <w:rsid w:val="00CA1D23"/>
    <w:rsid w:val="00CA4017"/>
    <w:rsid w:val="00CA40A5"/>
    <w:rsid w:val="00CA42E4"/>
    <w:rsid w:val="00CA543B"/>
    <w:rsid w:val="00CA78FB"/>
    <w:rsid w:val="00CA7AA0"/>
    <w:rsid w:val="00CA7C9C"/>
    <w:rsid w:val="00CB1098"/>
    <w:rsid w:val="00CB1099"/>
    <w:rsid w:val="00CB1E7E"/>
    <w:rsid w:val="00CB3452"/>
    <w:rsid w:val="00CB37A9"/>
    <w:rsid w:val="00CB4296"/>
    <w:rsid w:val="00CB467F"/>
    <w:rsid w:val="00CB4C9E"/>
    <w:rsid w:val="00CB586E"/>
    <w:rsid w:val="00CB5BE2"/>
    <w:rsid w:val="00CB6092"/>
    <w:rsid w:val="00CB75E4"/>
    <w:rsid w:val="00CB787A"/>
    <w:rsid w:val="00CB7FE5"/>
    <w:rsid w:val="00CC1AAF"/>
    <w:rsid w:val="00CC1CE4"/>
    <w:rsid w:val="00CC29E1"/>
    <w:rsid w:val="00CC3814"/>
    <w:rsid w:val="00CC3EAA"/>
    <w:rsid w:val="00CC5628"/>
    <w:rsid w:val="00CC6257"/>
    <w:rsid w:val="00CC6275"/>
    <w:rsid w:val="00CC65C2"/>
    <w:rsid w:val="00CC6964"/>
    <w:rsid w:val="00CC6F84"/>
    <w:rsid w:val="00CD2548"/>
    <w:rsid w:val="00CD29F6"/>
    <w:rsid w:val="00CD3461"/>
    <w:rsid w:val="00CD44EC"/>
    <w:rsid w:val="00CD4EC4"/>
    <w:rsid w:val="00CD5097"/>
    <w:rsid w:val="00CD563C"/>
    <w:rsid w:val="00CD6112"/>
    <w:rsid w:val="00CE05A8"/>
    <w:rsid w:val="00CE15A4"/>
    <w:rsid w:val="00CE1799"/>
    <w:rsid w:val="00CE1817"/>
    <w:rsid w:val="00CE4A37"/>
    <w:rsid w:val="00CE59B5"/>
    <w:rsid w:val="00CE63EC"/>
    <w:rsid w:val="00CE70E1"/>
    <w:rsid w:val="00CE7E7D"/>
    <w:rsid w:val="00CF0291"/>
    <w:rsid w:val="00CF1B7A"/>
    <w:rsid w:val="00CF3A2A"/>
    <w:rsid w:val="00CF3FCE"/>
    <w:rsid w:val="00CF4F3C"/>
    <w:rsid w:val="00CF5DF1"/>
    <w:rsid w:val="00CF6EDD"/>
    <w:rsid w:val="00D01862"/>
    <w:rsid w:val="00D02430"/>
    <w:rsid w:val="00D039D7"/>
    <w:rsid w:val="00D05A0E"/>
    <w:rsid w:val="00D0665D"/>
    <w:rsid w:val="00D06AB4"/>
    <w:rsid w:val="00D07CA7"/>
    <w:rsid w:val="00D1017A"/>
    <w:rsid w:val="00D10316"/>
    <w:rsid w:val="00D1197D"/>
    <w:rsid w:val="00D11B73"/>
    <w:rsid w:val="00D14892"/>
    <w:rsid w:val="00D1492F"/>
    <w:rsid w:val="00D14ACC"/>
    <w:rsid w:val="00D16A1D"/>
    <w:rsid w:val="00D171AC"/>
    <w:rsid w:val="00D20B30"/>
    <w:rsid w:val="00D21291"/>
    <w:rsid w:val="00D238E0"/>
    <w:rsid w:val="00D24B9B"/>
    <w:rsid w:val="00D24C02"/>
    <w:rsid w:val="00D25ACA"/>
    <w:rsid w:val="00D25E5D"/>
    <w:rsid w:val="00D264B7"/>
    <w:rsid w:val="00D26D92"/>
    <w:rsid w:val="00D276C6"/>
    <w:rsid w:val="00D27982"/>
    <w:rsid w:val="00D27F6F"/>
    <w:rsid w:val="00D3141F"/>
    <w:rsid w:val="00D329E1"/>
    <w:rsid w:val="00D32C3A"/>
    <w:rsid w:val="00D34B0A"/>
    <w:rsid w:val="00D40981"/>
    <w:rsid w:val="00D40AB2"/>
    <w:rsid w:val="00D410BB"/>
    <w:rsid w:val="00D416F8"/>
    <w:rsid w:val="00D42027"/>
    <w:rsid w:val="00D4389B"/>
    <w:rsid w:val="00D440EC"/>
    <w:rsid w:val="00D44F6B"/>
    <w:rsid w:val="00D46167"/>
    <w:rsid w:val="00D477A4"/>
    <w:rsid w:val="00D478AA"/>
    <w:rsid w:val="00D47CAA"/>
    <w:rsid w:val="00D5045E"/>
    <w:rsid w:val="00D50461"/>
    <w:rsid w:val="00D50C81"/>
    <w:rsid w:val="00D51FA6"/>
    <w:rsid w:val="00D568D6"/>
    <w:rsid w:val="00D57243"/>
    <w:rsid w:val="00D574DE"/>
    <w:rsid w:val="00D6024B"/>
    <w:rsid w:val="00D613C3"/>
    <w:rsid w:val="00D618CF"/>
    <w:rsid w:val="00D62E52"/>
    <w:rsid w:val="00D64BBE"/>
    <w:rsid w:val="00D654E0"/>
    <w:rsid w:val="00D66AA7"/>
    <w:rsid w:val="00D67DCC"/>
    <w:rsid w:val="00D70603"/>
    <w:rsid w:val="00D72368"/>
    <w:rsid w:val="00D72850"/>
    <w:rsid w:val="00D72E1B"/>
    <w:rsid w:val="00D74342"/>
    <w:rsid w:val="00D76090"/>
    <w:rsid w:val="00D769BE"/>
    <w:rsid w:val="00D813D6"/>
    <w:rsid w:val="00D81BD1"/>
    <w:rsid w:val="00D81BF3"/>
    <w:rsid w:val="00D8213A"/>
    <w:rsid w:val="00D830B5"/>
    <w:rsid w:val="00D839F9"/>
    <w:rsid w:val="00D85CE0"/>
    <w:rsid w:val="00D85E7E"/>
    <w:rsid w:val="00D86B18"/>
    <w:rsid w:val="00D87010"/>
    <w:rsid w:val="00D87B32"/>
    <w:rsid w:val="00D87E09"/>
    <w:rsid w:val="00D917D7"/>
    <w:rsid w:val="00D9183B"/>
    <w:rsid w:val="00D91E21"/>
    <w:rsid w:val="00D93538"/>
    <w:rsid w:val="00D9409D"/>
    <w:rsid w:val="00D969E8"/>
    <w:rsid w:val="00D973A7"/>
    <w:rsid w:val="00D976BC"/>
    <w:rsid w:val="00D97719"/>
    <w:rsid w:val="00DA394E"/>
    <w:rsid w:val="00DA49D5"/>
    <w:rsid w:val="00DA4A67"/>
    <w:rsid w:val="00DA69FD"/>
    <w:rsid w:val="00DA7DBA"/>
    <w:rsid w:val="00DB0D5A"/>
    <w:rsid w:val="00DB1286"/>
    <w:rsid w:val="00DB2D7E"/>
    <w:rsid w:val="00DB325C"/>
    <w:rsid w:val="00DB3AE4"/>
    <w:rsid w:val="00DB40FB"/>
    <w:rsid w:val="00DB4354"/>
    <w:rsid w:val="00DB4466"/>
    <w:rsid w:val="00DB4D91"/>
    <w:rsid w:val="00DB521D"/>
    <w:rsid w:val="00DB5465"/>
    <w:rsid w:val="00DB7629"/>
    <w:rsid w:val="00DB7AD6"/>
    <w:rsid w:val="00DB7BAA"/>
    <w:rsid w:val="00DB7F79"/>
    <w:rsid w:val="00DC2468"/>
    <w:rsid w:val="00DC749F"/>
    <w:rsid w:val="00DD1E2C"/>
    <w:rsid w:val="00DD2C46"/>
    <w:rsid w:val="00DD2FF8"/>
    <w:rsid w:val="00DD30A9"/>
    <w:rsid w:val="00DD4200"/>
    <w:rsid w:val="00DD4D73"/>
    <w:rsid w:val="00DD5D25"/>
    <w:rsid w:val="00DD6050"/>
    <w:rsid w:val="00DD7F96"/>
    <w:rsid w:val="00DE150C"/>
    <w:rsid w:val="00DE19BF"/>
    <w:rsid w:val="00DE3800"/>
    <w:rsid w:val="00DE3AA9"/>
    <w:rsid w:val="00DE4039"/>
    <w:rsid w:val="00DE467A"/>
    <w:rsid w:val="00DE49FF"/>
    <w:rsid w:val="00DE4D80"/>
    <w:rsid w:val="00DE6295"/>
    <w:rsid w:val="00DE633C"/>
    <w:rsid w:val="00DF1A07"/>
    <w:rsid w:val="00DF1FCC"/>
    <w:rsid w:val="00DF2C4F"/>
    <w:rsid w:val="00DF2F72"/>
    <w:rsid w:val="00DF3A19"/>
    <w:rsid w:val="00DF40AF"/>
    <w:rsid w:val="00DF438A"/>
    <w:rsid w:val="00DF66B8"/>
    <w:rsid w:val="00DF76D3"/>
    <w:rsid w:val="00DF777E"/>
    <w:rsid w:val="00DF7CA2"/>
    <w:rsid w:val="00DF7F4D"/>
    <w:rsid w:val="00E012BC"/>
    <w:rsid w:val="00E05470"/>
    <w:rsid w:val="00E07751"/>
    <w:rsid w:val="00E07A29"/>
    <w:rsid w:val="00E10A37"/>
    <w:rsid w:val="00E124D9"/>
    <w:rsid w:val="00E1311B"/>
    <w:rsid w:val="00E13BE2"/>
    <w:rsid w:val="00E16289"/>
    <w:rsid w:val="00E1636B"/>
    <w:rsid w:val="00E16E37"/>
    <w:rsid w:val="00E16FEB"/>
    <w:rsid w:val="00E21170"/>
    <w:rsid w:val="00E221A2"/>
    <w:rsid w:val="00E232B5"/>
    <w:rsid w:val="00E27D31"/>
    <w:rsid w:val="00E306CE"/>
    <w:rsid w:val="00E3126F"/>
    <w:rsid w:val="00E33B93"/>
    <w:rsid w:val="00E3457B"/>
    <w:rsid w:val="00E3578A"/>
    <w:rsid w:val="00E35D77"/>
    <w:rsid w:val="00E37618"/>
    <w:rsid w:val="00E42202"/>
    <w:rsid w:val="00E42AC0"/>
    <w:rsid w:val="00E42C65"/>
    <w:rsid w:val="00E42DBE"/>
    <w:rsid w:val="00E430FF"/>
    <w:rsid w:val="00E44115"/>
    <w:rsid w:val="00E44A35"/>
    <w:rsid w:val="00E44A41"/>
    <w:rsid w:val="00E463F9"/>
    <w:rsid w:val="00E46CFB"/>
    <w:rsid w:val="00E46D43"/>
    <w:rsid w:val="00E474F5"/>
    <w:rsid w:val="00E501DB"/>
    <w:rsid w:val="00E50CC8"/>
    <w:rsid w:val="00E52889"/>
    <w:rsid w:val="00E54445"/>
    <w:rsid w:val="00E555AF"/>
    <w:rsid w:val="00E55AC0"/>
    <w:rsid w:val="00E55DA9"/>
    <w:rsid w:val="00E56007"/>
    <w:rsid w:val="00E60438"/>
    <w:rsid w:val="00E61451"/>
    <w:rsid w:val="00E61686"/>
    <w:rsid w:val="00E62BAD"/>
    <w:rsid w:val="00E63988"/>
    <w:rsid w:val="00E64416"/>
    <w:rsid w:val="00E6530B"/>
    <w:rsid w:val="00E65F23"/>
    <w:rsid w:val="00E66811"/>
    <w:rsid w:val="00E66AF1"/>
    <w:rsid w:val="00E67D71"/>
    <w:rsid w:val="00E71FE8"/>
    <w:rsid w:val="00E72A10"/>
    <w:rsid w:val="00E72D3A"/>
    <w:rsid w:val="00E73BB5"/>
    <w:rsid w:val="00E749AD"/>
    <w:rsid w:val="00E753D0"/>
    <w:rsid w:val="00E77205"/>
    <w:rsid w:val="00E777B0"/>
    <w:rsid w:val="00E80D3C"/>
    <w:rsid w:val="00E81284"/>
    <w:rsid w:val="00E8180D"/>
    <w:rsid w:val="00E81FDB"/>
    <w:rsid w:val="00E81FEB"/>
    <w:rsid w:val="00E829B5"/>
    <w:rsid w:val="00E82B51"/>
    <w:rsid w:val="00E837B0"/>
    <w:rsid w:val="00E8411F"/>
    <w:rsid w:val="00E841E4"/>
    <w:rsid w:val="00E8645D"/>
    <w:rsid w:val="00E87039"/>
    <w:rsid w:val="00E917A5"/>
    <w:rsid w:val="00E922A8"/>
    <w:rsid w:val="00E93822"/>
    <w:rsid w:val="00E9402C"/>
    <w:rsid w:val="00E953DD"/>
    <w:rsid w:val="00EA06B6"/>
    <w:rsid w:val="00EA1050"/>
    <w:rsid w:val="00EA423C"/>
    <w:rsid w:val="00EA4546"/>
    <w:rsid w:val="00EA4B03"/>
    <w:rsid w:val="00EA4E20"/>
    <w:rsid w:val="00EA5153"/>
    <w:rsid w:val="00EA5F26"/>
    <w:rsid w:val="00EA5FB0"/>
    <w:rsid w:val="00EA6014"/>
    <w:rsid w:val="00EA629A"/>
    <w:rsid w:val="00EA72BC"/>
    <w:rsid w:val="00EB0550"/>
    <w:rsid w:val="00EB1C29"/>
    <w:rsid w:val="00EB1E91"/>
    <w:rsid w:val="00EB2768"/>
    <w:rsid w:val="00EB353C"/>
    <w:rsid w:val="00EB4B0D"/>
    <w:rsid w:val="00EB4F54"/>
    <w:rsid w:val="00EB512A"/>
    <w:rsid w:val="00EB590A"/>
    <w:rsid w:val="00EB7660"/>
    <w:rsid w:val="00EC0894"/>
    <w:rsid w:val="00EC126B"/>
    <w:rsid w:val="00EC18EF"/>
    <w:rsid w:val="00EC204A"/>
    <w:rsid w:val="00EC2611"/>
    <w:rsid w:val="00EC2736"/>
    <w:rsid w:val="00EC2DBB"/>
    <w:rsid w:val="00EC2DF0"/>
    <w:rsid w:val="00EC367E"/>
    <w:rsid w:val="00EC3AF9"/>
    <w:rsid w:val="00EC456A"/>
    <w:rsid w:val="00EC5435"/>
    <w:rsid w:val="00EC67C1"/>
    <w:rsid w:val="00EC6D3B"/>
    <w:rsid w:val="00EC6D5F"/>
    <w:rsid w:val="00EC7A3D"/>
    <w:rsid w:val="00ED0201"/>
    <w:rsid w:val="00ED10B3"/>
    <w:rsid w:val="00ED148F"/>
    <w:rsid w:val="00ED30C6"/>
    <w:rsid w:val="00ED3D1B"/>
    <w:rsid w:val="00ED5104"/>
    <w:rsid w:val="00ED5F76"/>
    <w:rsid w:val="00ED7793"/>
    <w:rsid w:val="00EE0296"/>
    <w:rsid w:val="00EE04D9"/>
    <w:rsid w:val="00EE08F8"/>
    <w:rsid w:val="00EE1309"/>
    <w:rsid w:val="00EE1596"/>
    <w:rsid w:val="00EE159C"/>
    <w:rsid w:val="00EE1F73"/>
    <w:rsid w:val="00EE225E"/>
    <w:rsid w:val="00EE2BC7"/>
    <w:rsid w:val="00EE2C47"/>
    <w:rsid w:val="00EE3D12"/>
    <w:rsid w:val="00EE3E88"/>
    <w:rsid w:val="00EE4864"/>
    <w:rsid w:val="00EE5D1B"/>
    <w:rsid w:val="00EE66D1"/>
    <w:rsid w:val="00EE71CF"/>
    <w:rsid w:val="00EE7FE2"/>
    <w:rsid w:val="00EF0B6D"/>
    <w:rsid w:val="00EF0D7E"/>
    <w:rsid w:val="00EF1C0B"/>
    <w:rsid w:val="00EF2DB2"/>
    <w:rsid w:val="00EF3252"/>
    <w:rsid w:val="00EF4847"/>
    <w:rsid w:val="00EF65E4"/>
    <w:rsid w:val="00EF6AFA"/>
    <w:rsid w:val="00EF6CC2"/>
    <w:rsid w:val="00EF6F55"/>
    <w:rsid w:val="00F006C3"/>
    <w:rsid w:val="00F01311"/>
    <w:rsid w:val="00F02472"/>
    <w:rsid w:val="00F0247D"/>
    <w:rsid w:val="00F04454"/>
    <w:rsid w:val="00F0470C"/>
    <w:rsid w:val="00F04896"/>
    <w:rsid w:val="00F04D36"/>
    <w:rsid w:val="00F04F58"/>
    <w:rsid w:val="00F059F7"/>
    <w:rsid w:val="00F074A5"/>
    <w:rsid w:val="00F10555"/>
    <w:rsid w:val="00F13F3B"/>
    <w:rsid w:val="00F14B05"/>
    <w:rsid w:val="00F179B0"/>
    <w:rsid w:val="00F20201"/>
    <w:rsid w:val="00F2071B"/>
    <w:rsid w:val="00F22062"/>
    <w:rsid w:val="00F22144"/>
    <w:rsid w:val="00F22408"/>
    <w:rsid w:val="00F26790"/>
    <w:rsid w:val="00F30158"/>
    <w:rsid w:val="00F30EFE"/>
    <w:rsid w:val="00F318C3"/>
    <w:rsid w:val="00F31D99"/>
    <w:rsid w:val="00F32BDF"/>
    <w:rsid w:val="00F32E98"/>
    <w:rsid w:val="00F33226"/>
    <w:rsid w:val="00F33EA8"/>
    <w:rsid w:val="00F35844"/>
    <w:rsid w:val="00F41B16"/>
    <w:rsid w:val="00F41B44"/>
    <w:rsid w:val="00F45F92"/>
    <w:rsid w:val="00F4731B"/>
    <w:rsid w:val="00F47E57"/>
    <w:rsid w:val="00F502F6"/>
    <w:rsid w:val="00F5047C"/>
    <w:rsid w:val="00F506CF"/>
    <w:rsid w:val="00F50B15"/>
    <w:rsid w:val="00F50F31"/>
    <w:rsid w:val="00F51B8B"/>
    <w:rsid w:val="00F52B4B"/>
    <w:rsid w:val="00F52C77"/>
    <w:rsid w:val="00F52FB3"/>
    <w:rsid w:val="00F53C78"/>
    <w:rsid w:val="00F554A5"/>
    <w:rsid w:val="00F57A67"/>
    <w:rsid w:val="00F57B09"/>
    <w:rsid w:val="00F57DA4"/>
    <w:rsid w:val="00F601CF"/>
    <w:rsid w:val="00F60D54"/>
    <w:rsid w:val="00F611E6"/>
    <w:rsid w:val="00F6166B"/>
    <w:rsid w:val="00F632A2"/>
    <w:rsid w:val="00F63B48"/>
    <w:rsid w:val="00F63D7C"/>
    <w:rsid w:val="00F64099"/>
    <w:rsid w:val="00F65945"/>
    <w:rsid w:val="00F65F8A"/>
    <w:rsid w:val="00F66EBF"/>
    <w:rsid w:val="00F7052D"/>
    <w:rsid w:val="00F70AA5"/>
    <w:rsid w:val="00F71B1B"/>
    <w:rsid w:val="00F71D17"/>
    <w:rsid w:val="00F71EA5"/>
    <w:rsid w:val="00F71F65"/>
    <w:rsid w:val="00F721A3"/>
    <w:rsid w:val="00F7233E"/>
    <w:rsid w:val="00F739D5"/>
    <w:rsid w:val="00F73EB4"/>
    <w:rsid w:val="00F76052"/>
    <w:rsid w:val="00F76674"/>
    <w:rsid w:val="00F76A1D"/>
    <w:rsid w:val="00F77926"/>
    <w:rsid w:val="00F77FCE"/>
    <w:rsid w:val="00F80D59"/>
    <w:rsid w:val="00F81F7E"/>
    <w:rsid w:val="00F83F8F"/>
    <w:rsid w:val="00F849E1"/>
    <w:rsid w:val="00F85715"/>
    <w:rsid w:val="00F85998"/>
    <w:rsid w:val="00F86D97"/>
    <w:rsid w:val="00F8705F"/>
    <w:rsid w:val="00F8710E"/>
    <w:rsid w:val="00F905B5"/>
    <w:rsid w:val="00F905BD"/>
    <w:rsid w:val="00F92950"/>
    <w:rsid w:val="00F93CDE"/>
    <w:rsid w:val="00F946A7"/>
    <w:rsid w:val="00F94728"/>
    <w:rsid w:val="00F9518D"/>
    <w:rsid w:val="00F97640"/>
    <w:rsid w:val="00F97651"/>
    <w:rsid w:val="00FA1553"/>
    <w:rsid w:val="00FA1A27"/>
    <w:rsid w:val="00FA1D32"/>
    <w:rsid w:val="00FA2DB7"/>
    <w:rsid w:val="00FA34A0"/>
    <w:rsid w:val="00FA4D03"/>
    <w:rsid w:val="00FA4F0E"/>
    <w:rsid w:val="00FA638A"/>
    <w:rsid w:val="00FA6969"/>
    <w:rsid w:val="00FA6AC3"/>
    <w:rsid w:val="00FA6CAB"/>
    <w:rsid w:val="00FA7560"/>
    <w:rsid w:val="00FB094F"/>
    <w:rsid w:val="00FB160B"/>
    <w:rsid w:val="00FB2128"/>
    <w:rsid w:val="00FB2390"/>
    <w:rsid w:val="00FB3FA9"/>
    <w:rsid w:val="00FB41C7"/>
    <w:rsid w:val="00FB43E4"/>
    <w:rsid w:val="00FB5828"/>
    <w:rsid w:val="00FB5D0A"/>
    <w:rsid w:val="00FB5F61"/>
    <w:rsid w:val="00FB5F9C"/>
    <w:rsid w:val="00FB6901"/>
    <w:rsid w:val="00FB77A0"/>
    <w:rsid w:val="00FC007C"/>
    <w:rsid w:val="00FC17B9"/>
    <w:rsid w:val="00FC281B"/>
    <w:rsid w:val="00FC2DF9"/>
    <w:rsid w:val="00FC4288"/>
    <w:rsid w:val="00FC4F41"/>
    <w:rsid w:val="00FD0575"/>
    <w:rsid w:val="00FD06E3"/>
    <w:rsid w:val="00FD0CC6"/>
    <w:rsid w:val="00FD3295"/>
    <w:rsid w:val="00FD32D2"/>
    <w:rsid w:val="00FD5023"/>
    <w:rsid w:val="00FD5E71"/>
    <w:rsid w:val="00FD6D7C"/>
    <w:rsid w:val="00FE1007"/>
    <w:rsid w:val="00FE1112"/>
    <w:rsid w:val="00FE13F8"/>
    <w:rsid w:val="00FE16EC"/>
    <w:rsid w:val="00FE2491"/>
    <w:rsid w:val="00FE2D80"/>
    <w:rsid w:val="00FE3A4B"/>
    <w:rsid w:val="00FE5891"/>
    <w:rsid w:val="00FE5F59"/>
    <w:rsid w:val="00FE6709"/>
    <w:rsid w:val="00FE76E3"/>
    <w:rsid w:val="00FF2408"/>
    <w:rsid w:val="00FF259C"/>
    <w:rsid w:val="00FF2661"/>
    <w:rsid w:val="00FF3A99"/>
    <w:rsid w:val="00FF3B49"/>
    <w:rsid w:val="00FF3EB4"/>
    <w:rsid w:val="00FF3ECB"/>
    <w:rsid w:val="00FF43B6"/>
    <w:rsid w:val="00FF4EF3"/>
    <w:rsid w:val="00FF5967"/>
    <w:rsid w:val="00FF5A9A"/>
    <w:rsid w:val="00FF71C0"/>
    <w:rsid w:val="00FF71D5"/>
    <w:rsid w:val="1AF4C779"/>
    <w:rsid w:val="6CD39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821C"/>
  <w15:docId w15:val="{952B3720-388F-E344-A1B2-81D21CCF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6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E4DD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4DDD"/>
    <w:rPr>
      <w:rFonts w:ascii="Times New Roman" w:hAnsi="Times New Roman" w:cs="Times New Roman"/>
      <w:sz w:val="18"/>
      <w:szCs w:val="18"/>
    </w:rPr>
  </w:style>
  <w:style w:type="table" w:styleId="Grilledutableau">
    <w:name w:val="Table Grid"/>
    <w:basedOn w:val="TableauNormal"/>
    <w:rsid w:val="0033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342BB"/>
    <w:pPr>
      <w:ind w:left="720"/>
      <w:contextualSpacing/>
    </w:pPr>
  </w:style>
  <w:style w:type="character" w:styleId="Lienhypertexte">
    <w:name w:val="Hyperlink"/>
    <w:basedOn w:val="Policepardfaut"/>
    <w:uiPriority w:val="99"/>
    <w:unhideWhenUsed/>
    <w:rsid w:val="003342BB"/>
    <w:rPr>
      <w:color w:val="0000FF" w:themeColor="hyperlink"/>
      <w:u w:val="single"/>
    </w:rPr>
  </w:style>
  <w:style w:type="character" w:styleId="Mentionnonrsolue">
    <w:name w:val="Unresolved Mention"/>
    <w:basedOn w:val="Policepardfaut"/>
    <w:uiPriority w:val="99"/>
    <w:semiHidden/>
    <w:unhideWhenUsed/>
    <w:rsid w:val="003342BB"/>
    <w:rPr>
      <w:color w:val="605E5C"/>
      <w:shd w:val="clear" w:color="auto" w:fill="E1DFDD"/>
    </w:rPr>
  </w:style>
  <w:style w:type="paragraph" w:styleId="En-tte">
    <w:name w:val="header"/>
    <w:basedOn w:val="Normal"/>
    <w:link w:val="En-tteCar"/>
    <w:unhideWhenUsed/>
    <w:rsid w:val="00856F5E"/>
    <w:pPr>
      <w:tabs>
        <w:tab w:val="center" w:pos="4536"/>
        <w:tab w:val="right" w:pos="9072"/>
      </w:tabs>
    </w:pPr>
  </w:style>
  <w:style w:type="character" w:customStyle="1" w:styleId="En-tteCar">
    <w:name w:val="En-tête Car"/>
    <w:basedOn w:val="Policepardfaut"/>
    <w:link w:val="En-tte"/>
    <w:rsid w:val="00856F5E"/>
  </w:style>
  <w:style w:type="paragraph" w:styleId="Pieddepage">
    <w:name w:val="footer"/>
    <w:basedOn w:val="Normal"/>
    <w:link w:val="PieddepageCar"/>
    <w:uiPriority w:val="99"/>
    <w:unhideWhenUsed/>
    <w:rsid w:val="00856F5E"/>
    <w:pPr>
      <w:tabs>
        <w:tab w:val="center" w:pos="4536"/>
        <w:tab w:val="right" w:pos="9072"/>
      </w:tabs>
    </w:pPr>
  </w:style>
  <w:style w:type="character" w:customStyle="1" w:styleId="PieddepageCar">
    <w:name w:val="Pied de page Car"/>
    <w:basedOn w:val="Policepardfaut"/>
    <w:link w:val="Pieddepage"/>
    <w:uiPriority w:val="99"/>
    <w:rsid w:val="00856F5E"/>
  </w:style>
  <w:style w:type="paragraph" w:customStyle="1" w:styleId="Default">
    <w:name w:val="Default"/>
    <w:rsid w:val="00EA629A"/>
    <w:pPr>
      <w:autoSpaceDE w:val="0"/>
      <w:autoSpaceDN w:val="0"/>
      <w:adjustRightInd w:val="0"/>
    </w:pPr>
    <w:rPr>
      <w:rFonts w:ascii="Arial" w:hAnsi="Arial" w:cs="Arial"/>
      <w:color w:val="000000"/>
    </w:rPr>
  </w:style>
  <w:style w:type="paragraph" w:customStyle="1" w:styleId="xxmsolistparagraph">
    <w:name w:val="x_xmsolistparagraph"/>
    <w:basedOn w:val="Normal"/>
    <w:rsid w:val="009B4166"/>
    <w:pPr>
      <w:spacing w:before="100" w:beforeAutospacing="1" w:after="100" w:afterAutospacing="1"/>
    </w:pPr>
    <w:rPr>
      <w:rFonts w:ascii="Times New Roman" w:eastAsia="Times New Roman" w:hAnsi="Times New Roman" w:cs="Times New Roman"/>
      <w:lang w:eastAsia="fr-FR"/>
    </w:rPr>
  </w:style>
  <w:style w:type="paragraph" w:styleId="Rvision">
    <w:name w:val="Revision"/>
    <w:hidden/>
    <w:uiPriority w:val="99"/>
    <w:semiHidden/>
    <w:rsid w:val="00230714"/>
  </w:style>
  <w:style w:type="paragraph" w:styleId="Objetducommentaire">
    <w:name w:val="annotation subject"/>
    <w:basedOn w:val="Commentaire"/>
    <w:next w:val="Commentaire"/>
    <w:link w:val="ObjetducommentaireCar"/>
    <w:uiPriority w:val="99"/>
    <w:semiHidden/>
    <w:unhideWhenUsed/>
    <w:rsid w:val="00230714"/>
    <w:rPr>
      <w:b/>
      <w:bCs/>
    </w:rPr>
  </w:style>
  <w:style w:type="character" w:customStyle="1" w:styleId="ObjetducommentaireCar">
    <w:name w:val="Objet du commentaire Car"/>
    <w:basedOn w:val="CommentaireCar"/>
    <w:link w:val="Objetducommentaire"/>
    <w:uiPriority w:val="99"/>
    <w:semiHidden/>
    <w:rsid w:val="00230714"/>
    <w:rPr>
      <w:b/>
      <w:bCs/>
      <w:sz w:val="20"/>
      <w:szCs w:val="20"/>
    </w:rPr>
  </w:style>
  <w:style w:type="paragraph" w:styleId="Notedebasdepage">
    <w:name w:val="footnote text"/>
    <w:aliases w:val="fn,footnote text1,footnote text1_0"/>
    <w:basedOn w:val="Normal"/>
    <w:link w:val="NotedebasdepageCar"/>
    <w:uiPriority w:val="99"/>
    <w:unhideWhenUsed/>
    <w:rsid w:val="00F47E57"/>
    <w:rPr>
      <w:sz w:val="20"/>
      <w:szCs w:val="20"/>
    </w:rPr>
  </w:style>
  <w:style w:type="character" w:customStyle="1" w:styleId="NotedebasdepageCar">
    <w:name w:val="Note de bas de page Car"/>
    <w:aliases w:val="fn Car,footnote text1 Car,footnote text1_0 Car"/>
    <w:basedOn w:val="Policepardfaut"/>
    <w:link w:val="Notedebasdepage"/>
    <w:uiPriority w:val="99"/>
    <w:rsid w:val="00F47E57"/>
    <w:rPr>
      <w:sz w:val="20"/>
      <w:szCs w:val="20"/>
    </w:rPr>
  </w:style>
  <w:style w:type="character" w:styleId="Appelnotedebasdep">
    <w:name w:val="footnote reference"/>
    <w:basedOn w:val="Policepardfaut"/>
    <w:uiPriority w:val="99"/>
    <w:unhideWhenUsed/>
    <w:rsid w:val="00F47E57"/>
    <w:rPr>
      <w:vertAlign w:val="superscript"/>
    </w:rPr>
  </w:style>
  <w:style w:type="paragraph" w:styleId="NormalWeb">
    <w:name w:val="Normal (Web)"/>
    <w:basedOn w:val="Normal"/>
    <w:uiPriority w:val="99"/>
    <w:unhideWhenUsed/>
    <w:rsid w:val="00F76A1D"/>
    <w:pPr>
      <w:spacing w:before="100" w:beforeAutospacing="1" w:after="100" w:afterAutospacing="1"/>
    </w:pPr>
    <w:rPr>
      <w:rFonts w:ascii="Times New Roman" w:eastAsia="Times New Roman" w:hAnsi="Times New Roman" w:cs="Times New Roman"/>
      <w:lang w:eastAsia="fr-FR"/>
    </w:rPr>
  </w:style>
  <w:style w:type="character" w:customStyle="1" w:styleId="ParagraphedelisteCar">
    <w:name w:val="Paragraphe de liste Car"/>
    <w:basedOn w:val="Policepardfaut"/>
    <w:link w:val="Paragraphedeliste"/>
    <w:uiPriority w:val="34"/>
    <w:rsid w:val="00E37618"/>
  </w:style>
  <w:style w:type="paragraph" w:customStyle="1" w:styleId="xmsolistparagraph">
    <w:name w:val="x_msolistparagraph"/>
    <w:basedOn w:val="Normal"/>
    <w:rsid w:val="00E37618"/>
    <w:pPr>
      <w:spacing w:before="100" w:beforeAutospacing="1" w:after="100" w:afterAutospacing="1"/>
    </w:pPr>
    <w:rPr>
      <w:rFonts w:ascii="Times New Roman" w:eastAsia="Times New Roman" w:hAnsi="Times New Roman" w:cs="Times New Roman"/>
      <w:lang w:eastAsia="fr-FR"/>
    </w:rPr>
  </w:style>
  <w:style w:type="paragraph" w:customStyle="1" w:styleId="xmsonormal">
    <w:name w:val="x_msonormal"/>
    <w:basedOn w:val="Normal"/>
    <w:rsid w:val="00E3761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4466E"/>
    <w:rPr>
      <w:b/>
      <w:bCs/>
    </w:rPr>
  </w:style>
  <w:style w:type="character" w:customStyle="1" w:styleId="TitreCar">
    <w:name w:val="Titre Car"/>
    <w:link w:val="Titre"/>
    <w:rsid w:val="00196665"/>
    <w:rPr>
      <w:b/>
      <w:sz w:val="72"/>
      <w:szCs w:val="72"/>
    </w:rPr>
  </w:style>
  <w:style w:type="character" w:styleId="Accentuation">
    <w:name w:val="Emphasis"/>
    <w:basedOn w:val="Policepardfaut"/>
    <w:uiPriority w:val="20"/>
    <w:qFormat/>
    <w:rsid w:val="00441478"/>
    <w:rPr>
      <w:i/>
      <w:iCs/>
    </w:rPr>
  </w:style>
  <w:style w:type="character" w:styleId="Lienhypertextesuivivisit">
    <w:name w:val="FollowedHyperlink"/>
    <w:basedOn w:val="Policepardfaut"/>
    <w:uiPriority w:val="99"/>
    <w:semiHidden/>
    <w:unhideWhenUsed/>
    <w:rsid w:val="00E474F5"/>
    <w:rPr>
      <w:color w:val="800080" w:themeColor="followedHyperlink"/>
      <w:u w:val="single"/>
    </w:rPr>
  </w:style>
  <w:style w:type="character" w:styleId="Mention">
    <w:name w:val="Mention"/>
    <w:basedOn w:val="Policepardfaut"/>
    <w:uiPriority w:val="99"/>
    <w:unhideWhenUsed/>
    <w:rsid w:val="001E4C34"/>
    <w:rPr>
      <w:color w:val="2B579A"/>
      <w:shd w:val="clear" w:color="auto" w:fill="E1DFDD"/>
    </w:rPr>
  </w:style>
  <w:style w:type="character" w:customStyle="1" w:styleId="xbumpedfont17">
    <w:name w:val="x_bumpedfont17"/>
    <w:basedOn w:val="Policepardfaut"/>
    <w:rsid w:val="002C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6468">
      <w:bodyDiv w:val="1"/>
      <w:marLeft w:val="0"/>
      <w:marRight w:val="0"/>
      <w:marTop w:val="0"/>
      <w:marBottom w:val="0"/>
      <w:divBdr>
        <w:top w:val="none" w:sz="0" w:space="0" w:color="auto"/>
        <w:left w:val="none" w:sz="0" w:space="0" w:color="auto"/>
        <w:bottom w:val="none" w:sz="0" w:space="0" w:color="auto"/>
        <w:right w:val="none" w:sz="0" w:space="0" w:color="auto"/>
      </w:divBdr>
    </w:div>
    <w:div w:id="185606358">
      <w:bodyDiv w:val="1"/>
      <w:marLeft w:val="0"/>
      <w:marRight w:val="0"/>
      <w:marTop w:val="0"/>
      <w:marBottom w:val="0"/>
      <w:divBdr>
        <w:top w:val="none" w:sz="0" w:space="0" w:color="auto"/>
        <w:left w:val="none" w:sz="0" w:space="0" w:color="auto"/>
        <w:bottom w:val="none" w:sz="0" w:space="0" w:color="auto"/>
        <w:right w:val="none" w:sz="0" w:space="0" w:color="auto"/>
      </w:divBdr>
      <w:divsChild>
        <w:div w:id="621375917">
          <w:marLeft w:val="0"/>
          <w:marRight w:val="0"/>
          <w:marTop w:val="0"/>
          <w:marBottom w:val="0"/>
          <w:divBdr>
            <w:top w:val="single" w:sz="6" w:space="0" w:color="8AA2BF"/>
            <w:left w:val="single" w:sz="6" w:space="0" w:color="8AA2BF"/>
            <w:bottom w:val="single" w:sz="6" w:space="0" w:color="8AA2BF"/>
            <w:right w:val="single" w:sz="6" w:space="0" w:color="8AA2BF"/>
          </w:divBdr>
        </w:div>
        <w:div w:id="859398484">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96822637">
      <w:bodyDiv w:val="1"/>
      <w:marLeft w:val="0"/>
      <w:marRight w:val="0"/>
      <w:marTop w:val="0"/>
      <w:marBottom w:val="0"/>
      <w:divBdr>
        <w:top w:val="none" w:sz="0" w:space="0" w:color="auto"/>
        <w:left w:val="none" w:sz="0" w:space="0" w:color="auto"/>
        <w:bottom w:val="none" w:sz="0" w:space="0" w:color="auto"/>
        <w:right w:val="none" w:sz="0" w:space="0" w:color="auto"/>
      </w:divBdr>
    </w:div>
    <w:div w:id="23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15176173">
          <w:marLeft w:val="331"/>
          <w:marRight w:val="0"/>
          <w:marTop w:val="0"/>
          <w:marBottom w:val="0"/>
          <w:divBdr>
            <w:top w:val="none" w:sz="0" w:space="0" w:color="auto"/>
            <w:left w:val="none" w:sz="0" w:space="0" w:color="auto"/>
            <w:bottom w:val="none" w:sz="0" w:space="0" w:color="auto"/>
            <w:right w:val="none" w:sz="0" w:space="0" w:color="auto"/>
          </w:divBdr>
        </w:div>
      </w:divsChild>
    </w:div>
    <w:div w:id="235407233">
      <w:bodyDiv w:val="1"/>
      <w:marLeft w:val="0"/>
      <w:marRight w:val="0"/>
      <w:marTop w:val="0"/>
      <w:marBottom w:val="0"/>
      <w:divBdr>
        <w:top w:val="none" w:sz="0" w:space="0" w:color="auto"/>
        <w:left w:val="none" w:sz="0" w:space="0" w:color="auto"/>
        <w:bottom w:val="none" w:sz="0" w:space="0" w:color="auto"/>
        <w:right w:val="none" w:sz="0" w:space="0" w:color="auto"/>
      </w:divBdr>
    </w:div>
    <w:div w:id="269896460">
      <w:bodyDiv w:val="1"/>
      <w:marLeft w:val="0"/>
      <w:marRight w:val="0"/>
      <w:marTop w:val="0"/>
      <w:marBottom w:val="0"/>
      <w:divBdr>
        <w:top w:val="none" w:sz="0" w:space="0" w:color="auto"/>
        <w:left w:val="none" w:sz="0" w:space="0" w:color="auto"/>
        <w:bottom w:val="none" w:sz="0" w:space="0" w:color="auto"/>
        <w:right w:val="none" w:sz="0" w:space="0" w:color="auto"/>
      </w:divBdr>
      <w:divsChild>
        <w:div w:id="1639803381">
          <w:marLeft w:val="0"/>
          <w:marRight w:val="0"/>
          <w:marTop w:val="0"/>
          <w:marBottom w:val="0"/>
          <w:divBdr>
            <w:top w:val="none" w:sz="0" w:space="0" w:color="auto"/>
            <w:left w:val="none" w:sz="0" w:space="0" w:color="auto"/>
            <w:bottom w:val="none" w:sz="0" w:space="0" w:color="auto"/>
            <w:right w:val="none" w:sz="0" w:space="0" w:color="auto"/>
          </w:divBdr>
          <w:divsChild>
            <w:div w:id="1608001524">
              <w:marLeft w:val="0"/>
              <w:marRight w:val="0"/>
              <w:marTop w:val="0"/>
              <w:marBottom w:val="0"/>
              <w:divBdr>
                <w:top w:val="none" w:sz="0" w:space="0" w:color="auto"/>
                <w:left w:val="none" w:sz="0" w:space="0" w:color="auto"/>
                <w:bottom w:val="none" w:sz="0" w:space="0" w:color="auto"/>
                <w:right w:val="none" w:sz="0" w:space="0" w:color="auto"/>
              </w:divBdr>
              <w:divsChild>
                <w:div w:id="622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8898">
      <w:bodyDiv w:val="1"/>
      <w:marLeft w:val="0"/>
      <w:marRight w:val="0"/>
      <w:marTop w:val="0"/>
      <w:marBottom w:val="0"/>
      <w:divBdr>
        <w:top w:val="none" w:sz="0" w:space="0" w:color="auto"/>
        <w:left w:val="none" w:sz="0" w:space="0" w:color="auto"/>
        <w:bottom w:val="none" w:sz="0" w:space="0" w:color="auto"/>
        <w:right w:val="none" w:sz="0" w:space="0" w:color="auto"/>
      </w:divBdr>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14842485">
      <w:bodyDiv w:val="1"/>
      <w:marLeft w:val="0"/>
      <w:marRight w:val="0"/>
      <w:marTop w:val="0"/>
      <w:marBottom w:val="0"/>
      <w:divBdr>
        <w:top w:val="none" w:sz="0" w:space="0" w:color="auto"/>
        <w:left w:val="none" w:sz="0" w:space="0" w:color="auto"/>
        <w:bottom w:val="none" w:sz="0" w:space="0" w:color="auto"/>
        <w:right w:val="none" w:sz="0" w:space="0" w:color="auto"/>
      </w:divBdr>
    </w:div>
    <w:div w:id="363287021">
      <w:bodyDiv w:val="1"/>
      <w:marLeft w:val="0"/>
      <w:marRight w:val="0"/>
      <w:marTop w:val="0"/>
      <w:marBottom w:val="0"/>
      <w:divBdr>
        <w:top w:val="none" w:sz="0" w:space="0" w:color="auto"/>
        <w:left w:val="none" w:sz="0" w:space="0" w:color="auto"/>
        <w:bottom w:val="none" w:sz="0" w:space="0" w:color="auto"/>
        <w:right w:val="none" w:sz="0" w:space="0" w:color="auto"/>
      </w:divBdr>
      <w:divsChild>
        <w:div w:id="316542186">
          <w:marLeft w:val="0"/>
          <w:marRight w:val="0"/>
          <w:marTop w:val="0"/>
          <w:marBottom w:val="0"/>
          <w:divBdr>
            <w:top w:val="single" w:sz="6" w:space="0" w:color="8AA2BF"/>
            <w:left w:val="single" w:sz="6" w:space="0" w:color="8AA2BF"/>
            <w:bottom w:val="single" w:sz="6" w:space="0" w:color="8AA2BF"/>
            <w:right w:val="single" w:sz="6" w:space="0" w:color="8AA2BF"/>
          </w:divBdr>
        </w:div>
        <w:div w:id="446507110">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388500430">
      <w:bodyDiv w:val="1"/>
      <w:marLeft w:val="0"/>
      <w:marRight w:val="0"/>
      <w:marTop w:val="0"/>
      <w:marBottom w:val="0"/>
      <w:divBdr>
        <w:top w:val="none" w:sz="0" w:space="0" w:color="auto"/>
        <w:left w:val="none" w:sz="0" w:space="0" w:color="auto"/>
        <w:bottom w:val="none" w:sz="0" w:space="0" w:color="auto"/>
        <w:right w:val="none" w:sz="0" w:space="0" w:color="auto"/>
      </w:divBdr>
    </w:div>
    <w:div w:id="407532718">
      <w:bodyDiv w:val="1"/>
      <w:marLeft w:val="0"/>
      <w:marRight w:val="0"/>
      <w:marTop w:val="0"/>
      <w:marBottom w:val="0"/>
      <w:divBdr>
        <w:top w:val="none" w:sz="0" w:space="0" w:color="auto"/>
        <w:left w:val="none" w:sz="0" w:space="0" w:color="auto"/>
        <w:bottom w:val="none" w:sz="0" w:space="0" w:color="auto"/>
        <w:right w:val="none" w:sz="0" w:space="0" w:color="auto"/>
      </w:divBdr>
    </w:div>
    <w:div w:id="460923307">
      <w:bodyDiv w:val="1"/>
      <w:marLeft w:val="0"/>
      <w:marRight w:val="0"/>
      <w:marTop w:val="0"/>
      <w:marBottom w:val="0"/>
      <w:divBdr>
        <w:top w:val="none" w:sz="0" w:space="0" w:color="auto"/>
        <w:left w:val="none" w:sz="0" w:space="0" w:color="auto"/>
        <w:bottom w:val="none" w:sz="0" w:space="0" w:color="auto"/>
        <w:right w:val="none" w:sz="0" w:space="0" w:color="auto"/>
      </w:divBdr>
      <w:divsChild>
        <w:div w:id="95296232">
          <w:marLeft w:val="1166"/>
          <w:marRight w:val="0"/>
          <w:marTop w:val="0"/>
          <w:marBottom w:val="0"/>
          <w:divBdr>
            <w:top w:val="none" w:sz="0" w:space="0" w:color="auto"/>
            <w:left w:val="none" w:sz="0" w:space="0" w:color="auto"/>
            <w:bottom w:val="none" w:sz="0" w:space="0" w:color="auto"/>
            <w:right w:val="none" w:sz="0" w:space="0" w:color="auto"/>
          </w:divBdr>
        </w:div>
        <w:div w:id="319239599">
          <w:marLeft w:val="1166"/>
          <w:marRight w:val="0"/>
          <w:marTop w:val="0"/>
          <w:marBottom w:val="0"/>
          <w:divBdr>
            <w:top w:val="none" w:sz="0" w:space="0" w:color="auto"/>
            <w:left w:val="none" w:sz="0" w:space="0" w:color="auto"/>
            <w:bottom w:val="none" w:sz="0" w:space="0" w:color="auto"/>
            <w:right w:val="none" w:sz="0" w:space="0" w:color="auto"/>
          </w:divBdr>
        </w:div>
        <w:div w:id="1869758354">
          <w:marLeft w:val="1166"/>
          <w:marRight w:val="0"/>
          <w:marTop w:val="0"/>
          <w:marBottom w:val="0"/>
          <w:divBdr>
            <w:top w:val="none" w:sz="0" w:space="0" w:color="auto"/>
            <w:left w:val="none" w:sz="0" w:space="0" w:color="auto"/>
            <w:bottom w:val="none" w:sz="0" w:space="0" w:color="auto"/>
            <w:right w:val="none" w:sz="0" w:space="0" w:color="auto"/>
          </w:divBdr>
        </w:div>
      </w:divsChild>
    </w:div>
    <w:div w:id="564414765">
      <w:bodyDiv w:val="1"/>
      <w:marLeft w:val="0"/>
      <w:marRight w:val="0"/>
      <w:marTop w:val="0"/>
      <w:marBottom w:val="0"/>
      <w:divBdr>
        <w:top w:val="none" w:sz="0" w:space="0" w:color="auto"/>
        <w:left w:val="none" w:sz="0" w:space="0" w:color="auto"/>
        <w:bottom w:val="none" w:sz="0" w:space="0" w:color="auto"/>
        <w:right w:val="none" w:sz="0" w:space="0" w:color="auto"/>
      </w:divBdr>
    </w:div>
    <w:div w:id="737560693">
      <w:bodyDiv w:val="1"/>
      <w:marLeft w:val="0"/>
      <w:marRight w:val="0"/>
      <w:marTop w:val="0"/>
      <w:marBottom w:val="0"/>
      <w:divBdr>
        <w:top w:val="none" w:sz="0" w:space="0" w:color="auto"/>
        <w:left w:val="none" w:sz="0" w:space="0" w:color="auto"/>
        <w:bottom w:val="none" w:sz="0" w:space="0" w:color="auto"/>
        <w:right w:val="none" w:sz="0" w:space="0" w:color="auto"/>
      </w:divBdr>
    </w:div>
    <w:div w:id="820001981">
      <w:bodyDiv w:val="1"/>
      <w:marLeft w:val="0"/>
      <w:marRight w:val="0"/>
      <w:marTop w:val="0"/>
      <w:marBottom w:val="0"/>
      <w:divBdr>
        <w:top w:val="none" w:sz="0" w:space="0" w:color="auto"/>
        <w:left w:val="none" w:sz="0" w:space="0" w:color="auto"/>
        <w:bottom w:val="none" w:sz="0" w:space="0" w:color="auto"/>
        <w:right w:val="none" w:sz="0" w:space="0" w:color="auto"/>
      </w:divBdr>
    </w:div>
    <w:div w:id="943000046">
      <w:bodyDiv w:val="1"/>
      <w:marLeft w:val="0"/>
      <w:marRight w:val="0"/>
      <w:marTop w:val="0"/>
      <w:marBottom w:val="0"/>
      <w:divBdr>
        <w:top w:val="none" w:sz="0" w:space="0" w:color="auto"/>
        <w:left w:val="none" w:sz="0" w:space="0" w:color="auto"/>
        <w:bottom w:val="none" w:sz="0" w:space="0" w:color="auto"/>
        <w:right w:val="none" w:sz="0" w:space="0" w:color="auto"/>
      </w:divBdr>
    </w:div>
    <w:div w:id="985086987">
      <w:bodyDiv w:val="1"/>
      <w:marLeft w:val="0"/>
      <w:marRight w:val="0"/>
      <w:marTop w:val="0"/>
      <w:marBottom w:val="0"/>
      <w:divBdr>
        <w:top w:val="none" w:sz="0" w:space="0" w:color="auto"/>
        <w:left w:val="none" w:sz="0" w:space="0" w:color="auto"/>
        <w:bottom w:val="none" w:sz="0" w:space="0" w:color="auto"/>
        <w:right w:val="none" w:sz="0" w:space="0" w:color="auto"/>
      </w:divBdr>
    </w:div>
    <w:div w:id="1000037560">
      <w:bodyDiv w:val="1"/>
      <w:marLeft w:val="0"/>
      <w:marRight w:val="0"/>
      <w:marTop w:val="0"/>
      <w:marBottom w:val="0"/>
      <w:divBdr>
        <w:top w:val="none" w:sz="0" w:space="0" w:color="auto"/>
        <w:left w:val="none" w:sz="0" w:space="0" w:color="auto"/>
        <w:bottom w:val="none" w:sz="0" w:space="0" w:color="auto"/>
        <w:right w:val="none" w:sz="0" w:space="0" w:color="auto"/>
      </w:divBdr>
      <w:divsChild>
        <w:div w:id="1757902738">
          <w:marLeft w:val="331"/>
          <w:marRight w:val="0"/>
          <w:marTop w:val="0"/>
          <w:marBottom w:val="0"/>
          <w:divBdr>
            <w:top w:val="none" w:sz="0" w:space="0" w:color="auto"/>
            <w:left w:val="none" w:sz="0" w:space="0" w:color="auto"/>
            <w:bottom w:val="none" w:sz="0" w:space="0" w:color="auto"/>
            <w:right w:val="none" w:sz="0" w:space="0" w:color="auto"/>
          </w:divBdr>
        </w:div>
        <w:div w:id="2003309935">
          <w:marLeft w:val="331"/>
          <w:marRight w:val="0"/>
          <w:marTop w:val="0"/>
          <w:marBottom w:val="0"/>
          <w:divBdr>
            <w:top w:val="none" w:sz="0" w:space="0" w:color="auto"/>
            <w:left w:val="none" w:sz="0" w:space="0" w:color="auto"/>
            <w:bottom w:val="none" w:sz="0" w:space="0" w:color="auto"/>
            <w:right w:val="none" w:sz="0" w:space="0" w:color="auto"/>
          </w:divBdr>
        </w:div>
      </w:divsChild>
    </w:div>
    <w:div w:id="1017652956">
      <w:bodyDiv w:val="1"/>
      <w:marLeft w:val="0"/>
      <w:marRight w:val="0"/>
      <w:marTop w:val="0"/>
      <w:marBottom w:val="0"/>
      <w:divBdr>
        <w:top w:val="none" w:sz="0" w:space="0" w:color="auto"/>
        <w:left w:val="none" w:sz="0" w:space="0" w:color="auto"/>
        <w:bottom w:val="none" w:sz="0" w:space="0" w:color="auto"/>
        <w:right w:val="none" w:sz="0" w:space="0" w:color="auto"/>
      </w:divBdr>
    </w:div>
    <w:div w:id="1073087044">
      <w:bodyDiv w:val="1"/>
      <w:marLeft w:val="0"/>
      <w:marRight w:val="0"/>
      <w:marTop w:val="0"/>
      <w:marBottom w:val="0"/>
      <w:divBdr>
        <w:top w:val="none" w:sz="0" w:space="0" w:color="auto"/>
        <w:left w:val="none" w:sz="0" w:space="0" w:color="auto"/>
        <w:bottom w:val="none" w:sz="0" w:space="0" w:color="auto"/>
        <w:right w:val="none" w:sz="0" w:space="0" w:color="auto"/>
      </w:divBdr>
    </w:div>
    <w:div w:id="1096250072">
      <w:bodyDiv w:val="1"/>
      <w:marLeft w:val="0"/>
      <w:marRight w:val="0"/>
      <w:marTop w:val="0"/>
      <w:marBottom w:val="0"/>
      <w:divBdr>
        <w:top w:val="none" w:sz="0" w:space="0" w:color="auto"/>
        <w:left w:val="none" w:sz="0" w:space="0" w:color="auto"/>
        <w:bottom w:val="none" w:sz="0" w:space="0" w:color="auto"/>
        <w:right w:val="none" w:sz="0" w:space="0" w:color="auto"/>
      </w:divBdr>
    </w:div>
    <w:div w:id="1139610931">
      <w:bodyDiv w:val="1"/>
      <w:marLeft w:val="0"/>
      <w:marRight w:val="0"/>
      <w:marTop w:val="0"/>
      <w:marBottom w:val="0"/>
      <w:divBdr>
        <w:top w:val="none" w:sz="0" w:space="0" w:color="auto"/>
        <w:left w:val="none" w:sz="0" w:space="0" w:color="auto"/>
        <w:bottom w:val="none" w:sz="0" w:space="0" w:color="auto"/>
        <w:right w:val="none" w:sz="0" w:space="0" w:color="auto"/>
      </w:divBdr>
    </w:div>
    <w:div w:id="1212381670">
      <w:bodyDiv w:val="1"/>
      <w:marLeft w:val="0"/>
      <w:marRight w:val="0"/>
      <w:marTop w:val="0"/>
      <w:marBottom w:val="0"/>
      <w:divBdr>
        <w:top w:val="none" w:sz="0" w:space="0" w:color="auto"/>
        <w:left w:val="none" w:sz="0" w:space="0" w:color="auto"/>
        <w:bottom w:val="none" w:sz="0" w:space="0" w:color="auto"/>
        <w:right w:val="none" w:sz="0" w:space="0" w:color="auto"/>
      </w:divBdr>
    </w:div>
    <w:div w:id="1217623868">
      <w:bodyDiv w:val="1"/>
      <w:marLeft w:val="0"/>
      <w:marRight w:val="0"/>
      <w:marTop w:val="0"/>
      <w:marBottom w:val="0"/>
      <w:divBdr>
        <w:top w:val="none" w:sz="0" w:space="0" w:color="auto"/>
        <w:left w:val="none" w:sz="0" w:space="0" w:color="auto"/>
        <w:bottom w:val="none" w:sz="0" w:space="0" w:color="auto"/>
        <w:right w:val="none" w:sz="0" w:space="0" w:color="auto"/>
      </w:divBdr>
    </w:div>
    <w:div w:id="1221751967">
      <w:bodyDiv w:val="1"/>
      <w:marLeft w:val="0"/>
      <w:marRight w:val="0"/>
      <w:marTop w:val="0"/>
      <w:marBottom w:val="0"/>
      <w:divBdr>
        <w:top w:val="none" w:sz="0" w:space="0" w:color="auto"/>
        <w:left w:val="none" w:sz="0" w:space="0" w:color="auto"/>
        <w:bottom w:val="none" w:sz="0" w:space="0" w:color="auto"/>
        <w:right w:val="none" w:sz="0" w:space="0" w:color="auto"/>
      </w:divBdr>
      <w:divsChild>
        <w:div w:id="1321425531">
          <w:marLeft w:val="274"/>
          <w:marRight w:val="0"/>
          <w:marTop w:val="0"/>
          <w:marBottom w:val="0"/>
          <w:divBdr>
            <w:top w:val="none" w:sz="0" w:space="0" w:color="auto"/>
            <w:left w:val="none" w:sz="0" w:space="0" w:color="auto"/>
            <w:bottom w:val="none" w:sz="0" w:space="0" w:color="auto"/>
            <w:right w:val="none" w:sz="0" w:space="0" w:color="auto"/>
          </w:divBdr>
        </w:div>
      </w:divsChild>
    </w:div>
    <w:div w:id="1237593204">
      <w:bodyDiv w:val="1"/>
      <w:marLeft w:val="0"/>
      <w:marRight w:val="0"/>
      <w:marTop w:val="0"/>
      <w:marBottom w:val="0"/>
      <w:divBdr>
        <w:top w:val="none" w:sz="0" w:space="0" w:color="auto"/>
        <w:left w:val="none" w:sz="0" w:space="0" w:color="auto"/>
        <w:bottom w:val="none" w:sz="0" w:space="0" w:color="auto"/>
        <w:right w:val="none" w:sz="0" w:space="0" w:color="auto"/>
      </w:divBdr>
    </w:div>
    <w:div w:id="1288731936">
      <w:bodyDiv w:val="1"/>
      <w:marLeft w:val="0"/>
      <w:marRight w:val="0"/>
      <w:marTop w:val="0"/>
      <w:marBottom w:val="0"/>
      <w:divBdr>
        <w:top w:val="none" w:sz="0" w:space="0" w:color="auto"/>
        <w:left w:val="none" w:sz="0" w:space="0" w:color="auto"/>
        <w:bottom w:val="none" w:sz="0" w:space="0" w:color="auto"/>
        <w:right w:val="none" w:sz="0" w:space="0" w:color="auto"/>
      </w:divBdr>
    </w:div>
    <w:div w:id="1316450807">
      <w:bodyDiv w:val="1"/>
      <w:marLeft w:val="0"/>
      <w:marRight w:val="0"/>
      <w:marTop w:val="0"/>
      <w:marBottom w:val="0"/>
      <w:divBdr>
        <w:top w:val="none" w:sz="0" w:space="0" w:color="auto"/>
        <w:left w:val="none" w:sz="0" w:space="0" w:color="auto"/>
        <w:bottom w:val="none" w:sz="0" w:space="0" w:color="auto"/>
        <w:right w:val="none" w:sz="0" w:space="0" w:color="auto"/>
      </w:divBdr>
    </w:div>
    <w:div w:id="1397894514">
      <w:bodyDiv w:val="1"/>
      <w:marLeft w:val="0"/>
      <w:marRight w:val="0"/>
      <w:marTop w:val="0"/>
      <w:marBottom w:val="0"/>
      <w:divBdr>
        <w:top w:val="none" w:sz="0" w:space="0" w:color="auto"/>
        <w:left w:val="none" w:sz="0" w:space="0" w:color="auto"/>
        <w:bottom w:val="none" w:sz="0" w:space="0" w:color="auto"/>
        <w:right w:val="none" w:sz="0" w:space="0" w:color="auto"/>
      </w:divBdr>
    </w:div>
    <w:div w:id="1410540434">
      <w:bodyDiv w:val="1"/>
      <w:marLeft w:val="0"/>
      <w:marRight w:val="0"/>
      <w:marTop w:val="0"/>
      <w:marBottom w:val="0"/>
      <w:divBdr>
        <w:top w:val="none" w:sz="0" w:space="0" w:color="auto"/>
        <w:left w:val="none" w:sz="0" w:space="0" w:color="auto"/>
        <w:bottom w:val="none" w:sz="0" w:space="0" w:color="auto"/>
        <w:right w:val="none" w:sz="0" w:space="0" w:color="auto"/>
      </w:divBdr>
      <w:divsChild>
        <w:div w:id="324088324">
          <w:marLeft w:val="331"/>
          <w:marRight w:val="0"/>
          <w:marTop w:val="0"/>
          <w:marBottom w:val="0"/>
          <w:divBdr>
            <w:top w:val="none" w:sz="0" w:space="0" w:color="auto"/>
            <w:left w:val="none" w:sz="0" w:space="0" w:color="auto"/>
            <w:bottom w:val="none" w:sz="0" w:space="0" w:color="auto"/>
            <w:right w:val="none" w:sz="0" w:space="0" w:color="auto"/>
          </w:divBdr>
        </w:div>
      </w:divsChild>
    </w:div>
    <w:div w:id="1520849663">
      <w:bodyDiv w:val="1"/>
      <w:marLeft w:val="0"/>
      <w:marRight w:val="0"/>
      <w:marTop w:val="0"/>
      <w:marBottom w:val="0"/>
      <w:divBdr>
        <w:top w:val="none" w:sz="0" w:space="0" w:color="auto"/>
        <w:left w:val="none" w:sz="0" w:space="0" w:color="auto"/>
        <w:bottom w:val="none" w:sz="0" w:space="0" w:color="auto"/>
        <w:right w:val="none" w:sz="0" w:space="0" w:color="auto"/>
      </w:divBdr>
    </w:div>
    <w:div w:id="1539203008">
      <w:bodyDiv w:val="1"/>
      <w:marLeft w:val="0"/>
      <w:marRight w:val="0"/>
      <w:marTop w:val="0"/>
      <w:marBottom w:val="0"/>
      <w:divBdr>
        <w:top w:val="none" w:sz="0" w:space="0" w:color="auto"/>
        <w:left w:val="none" w:sz="0" w:space="0" w:color="auto"/>
        <w:bottom w:val="none" w:sz="0" w:space="0" w:color="auto"/>
        <w:right w:val="none" w:sz="0" w:space="0" w:color="auto"/>
      </w:divBdr>
    </w:div>
    <w:div w:id="1550459982">
      <w:bodyDiv w:val="1"/>
      <w:marLeft w:val="0"/>
      <w:marRight w:val="0"/>
      <w:marTop w:val="0"/>
      <w:marBottom w:val="0"/>
      <w:divBdr>
        <w:top w:val="none" w:sz="0" w:space="0" w:color="auto"/>
        <w:left w:val="none" w:sz="0" w:space="0" w:color="auto"/>
        <w:bottom w:val="none" w:sz="0" w:space="0" w:color="auto"/>
        <w:right w:val="none" w:sz="0" w:space="0" w:color="auto"/>
      </w:divBdr>
    </w:div>
    <w:div w:id="1565870646">
      <w:bodyDiv w:val="1"/>
      <w:marLeft w:val="0"/>
      <w:marRight w:val="0"/>
      <w:marTop w:val="0"/>
      <w:marBottom w:val="0"/>
      <w:divBdr>
        <w:top w:val="none" w:sz="0" w:space="0" w:color="auto"/>
        <w:left w:val="none" w:sz="0" w:space="0" w:color="auto"/>
        <w:bottom w:val="none" w:sz="0" w:space="0" w:color="auto"/>
        <w:right w:val="none" w:sz="0" w:space="0" w:color="auto"/>
      </w:divBdr>
    </w:div>
    <w:div w:id="1762330186">
      <w:bodyDiv w:val="1"/>
      <w:marLeft w:val="0"/>
      <w:marRight w:val="0"/>
      <w:marTop w:val="0"/>
      <w:marBottom w:val="0"/>
      <w:divBdr>
        <w:top w:val="none" w:sz="0" w:space="0" w:color="auto"/>
        <w:left w:val="none" w:sz="0" w:space="0" w:color="auto"/>
        <w:bottom w:val="none" w:sz="0" w:space="0" w:color="auto"/>
        <w:right w:val="none" w:sz="0" w:space="0" w:color="auto"/>
      </w:divBdr>
    </w:div>
    <w:div w:id="1764834739">
      <w:bodyDiv w:val="1"/>
      <w:marLeft w:val="0"/>
      <w:marRight w:val="0"/>
      <w:marTop w:val="0"/>
      <w:marBottom w:val="0"/>
      <w:divBdr>
        <w:top w:val="none" w:sz="0" w:space="0" w:color="auto"/>
        <w:left w:val="none" w:sz="0" w:space="0" w:color="auto"/>
        <w:bottom w:val="none" w:sz="0" w:space="0" w:color="auto"/>
        <w:right w:val="none" w:sz="0" w:space="0" w:color="auto"/>
      </w:divBdr>
    </w:div>
    <w:div w:id="1843351015">
      <w:bodyDiv w:val="1"/>
      <w:marLeft w:val="0"/>
      <w:marRight w:val="0"/>
      <w:marTop w:val="0"/>
      <w:marBottom w:val="0"/>
      <w:divBdr>
        <w:top w:val="none" w:sz="0" w:space="0" w:color="auto"/>
        <w:left w:val="none" w:sz="0" w:space="0" w:color="auto"/>
        <w:bottom w:val="none" w:sz="0" w:space="0" w:color="auto"/>
        <w:right w:val="none" w:sz="0" w:space="0" w:color="auto"/>
      </w:divBdr>
    </w:div>
    <w:div w:id="1876581653">
      <w:bodyDiv w:val="1"/>
      <w:marLeft w:val="0"/>
      <w:marRight w:val="0"/>
      <w:marTop w:val="0"/>
      <w:marBottom w:val="0"/>
      <w:divBdr>
        <w:top w:val="none" w:sz="0" w:space="0" w:color="auto"/>
        <w:left w:val="none" w:sz="0" w:space="0" w:color="auto"/>
        <w:bottom w:val="none" w:sz="0" w:space="0" w:color="auto"/>
        <w:right w:val="none" w:sz="0" w:space="0" w:color="auto"/>
      </w:divBdr>
      <w:divsChild>
        <w:div w:id="97727070">
          <w:marLeft w:val="0"/>
          <w:marRight w:val="0"/>
          <w:marTop w:val="0"/>
          <w:marBottom w:val="0"/>
          <w:divBdr>
            <w:top w:val="none" w:sz="0" w:space="0" w:color="auto"/>
            <w:left w:val="none" w:sz="0" w:space="0" w:color="auto"/>
            <w:bottom w:val="none" w:sz="0" w:space="0" w:color="auto"/>
            <w:right w:val="none" w:sz="0" w:space="0" w:color="auto"/>
          </w:divBdr>
          <w:divsChild>
            <w:div w:id="35351722">
              <w:marLeft w:val="0"/>
              <w:marRight w:val="0"/>
              <w:marTop w:val="0"/>
              <w:marBottom w:val="0"/>
              <w:divBdr>
                <w:top w:val="none" w:sz="0" w:space="0" w:color="auto"/>
                <w:left w:val="none" w:sz="0" w:space="0" w:color="auto"/>
                <w:bottom w:val="none" w:sz="0" w:space="0" w:color="auto"/>
                <w:right w:val="none" w:sz="0" w:space="0" w:color="auto"/>
              </w:divBdr>
              <w:divsChild>
                <w:div w:id="113603165">
                  <w:marLeft w:val="0"/>
                  <w:marRight w:val="0"/>
                  <w:marTop w:val="0"/>
                  <w:marBottom w:val="0"/>
                  <w:divBdr>
                    <w:top w:val="none" w:sz="0" w:space="0" w:color="auto"/>
                    <w:left w:val="none" w:sz="0" w:space="0" w:color="auto"/>
                    <w:bottom w:val="none" w:sz="0" w:space="0" w:color="auto"/>
                    <w:right w:val="none" w:sz="0" w:space="0" w:color="auto"/>
                  </w:divBdr>
                </w:div>
              </w:divsChild>
            </w:div>
            <w:div w:id="116291686">
              <w:marLeft w:val="0"/>
              <w:marRight w:val="0"/>
              <w:marTop w:val="0"/>
              <w:marBottom w:val="0"/>
              <w:divBdr>
                <w:top w:val="none" w:sz="0" w:space="0" w:color="auto"/>
                <w:left w:val="none" w:sz="0" w:space="0" w:color="auto"/>
                <w:bottom w:val="none" w:sz="0" w:space="0" w:color="auto"/>
                <w:right w:val="none" w:sz="0" w:space="0" w:color="auto"/>
              </w:divBdr>
              <w:divsChild>
                <w:div w:id="233053920">
                  <w:marLeft w:val="0"/>
                  <w:marRight w:val="0"/>
                  <w:marTop w:val="0"/>
                  <w:marBottom w:val="0"/>
                  <w:divBdr>
                    <w:top w:val="none" w:sz="0" w:space="0" w:color="auto"/>
                    <w:left w:val="none" w:sz="0" w:space="0" w:color="auto"/>
                    <w:bottom w:val="none" w:sz="0" w:space="0" w:color="auto"/>
                    <w:right w:val="none" w:sz="0" w:space="0" w:color="auto"/>
                  </w:divBdr>
                </w:div>
              </w:divsChild>
            </w:div>
            <w:div w:id="125053148">
              <w:marLeft w:val="0"/>
              <w:marRight w:val="0"/>
              <w:marTop w:val="0"/>
              <w:marBottom w:val="0"/>
              <w:divBdr>
                <w:top w:val="none" w:sz="0" w:space="0" w:color="auto"/>
                <w:left w:val="none" w:sz="0" w:space="0" w:color="auto"/>
                <w:bottom w:val="none" w:sz="0" w:space="0" w:color="auto"/>
                <w:right w:val="none" w:sz="0" w:space="0" w:color="auto"/>
              </w:divBdr>
              <w:divsChild>
                <w:div w:id="56786900">
                  <w:marLeft w:val="0"/>
                  <w:marRight w:val="0"/>
                  <w:marTop w:val="0"/>
                  <w:marBottom w:val="0"/>
                  <w:divBdr>
                    <w:top w:val="none" w:sz="0" w:space="0" w:color="auto"/>
                    <w:left w:val="none" w:sz="0" w:space="0" w:color="auto"/>
                    <w:bottom w:val="none" w:sz="0" w:space="0" w:color="auto"/>
                    <w:right w:val="none" w:sz="0" w:space="0" w:color="auto"/>
                  </w:divBdr>
                </w:div>
              </w:divsChild>
            </w:div>
            <w:div w:id="592592439">
              <w:marLeft w:val="0"/>
              <w:marRight w:val="0"/>
              <w:marTop w:val="0"/>
              <w:marBottom w:val="0"/>
              <w:divBdr>
                <w:top w:val="none" w:sz="0" w:space="0" w:color="auto"/>
                <w:left w:val="none" w:sz="0" w:space="0" w:color="auto"/>
                <w:bottom w:val="none" w:sz="0" w:space="0" w:color="auto"/>
                <w:right w:val="none" w:sz="0" w:space="0" w:color="auto"/>
              </w:divBdr>
              <w:divsChild>
                <w:div w:id="65109859">
                  <w:marLeft w:val="0"/>
                  <w:marRight w:val="0"/>
                  <w:marTop w:val="0"/>
                  <w:marBottom w:val="0"/>
                  <w:divBdr>
                    <w:top w:val="none" w:sz="0" w:space="0" w:color="auto"/>
                    <w:left w:val="none" w:sz="0" w:space="0" w:color="auto"/>
                    <w:bottom w:val="none" w:sz="0" w:space="0" w:color="auto"/>
                    <w:right w:val="none" w:sz="0" w:space="0" w:color="auto"/>
                  </w:divBdr>
                </w:div>
              </w:divsChild>
            </w:div>
            <w:div w:id="735126337">
              <w:marLeft w:val="0"/>
              <w:marRight w:val="0"/>
              <w:marTop w:val="0"/>
              <w:marBottom w:val="0"/>
              <w:divBdr>
                <w:top w:val="none" w:sz="0" w:space="0" w:color="auto"/>
                <w:left w:val="none" w:sz="0" w:space="0" w:color="auto"/>
                <w:bottom w:val="none" w:sz="0" w:space="0" w:color="auto"/>
                <w:right w:val="none" w:sz="0" w:space="0" w:color="auto"/>
              </w:divBdr>
              <w:divsChild>
                <w:div w:id="1986934449">
                  <w:marLeft w:val="0"/>
                  <w:marRight w:val="0"/>
                  <w:marTop w:val="0"/>
                  <w:marBottom w:val="0"/>
                  <w:divBdr>
                    <w:top w:val="none" w:sz="0" w:space="0" w:color="auto"/>
                    <w:left w:val="none" w:sz="0" w:space="0" w:color="auto"/>
                    <w:bottom w:val="none" w:sz="0" w:space="0" w:color="auto"/>
                    <w:right w:val="none" w:sz="0" w:space="0" w:color="auto"/>
                  </w:divBdr>
                </w:div>
              </w:divsChild>
            </w:div>
            <w:div w:id="758016743">
              <w:marLeft w:val="0"/>
              <w:marRight w:val="0"/>
              <w:marTop w:val="0"/>
              <w:marBottom w:val="0"/>
              <w:divBdr>
                <w:top w:val="none" w:sz="0" w:space="0" w:color="auto"/>
                <w:left w:val="none" w:sz="0" w:space="0" w:color="auto"/>
                <w:bottom w:val="none" w:sz="0" w:space="0" w:color="auto"/>
                <w:right w:val="none" w:sz="0" w:space="0" w:color="auto"/>
              </w:divBdr>
              <w:divsChild>
                <w:div w:id="454494119">
                  <w:marLeft w:val="0"/>
                  <w:marRight w:val="0"/>
                  <w:marTop w:val="0"/>
                  <w:marBottom w:val="0"/>
                  <w:divBdr>
                    <w:top w:val="none" w:sz="0" w:space="0" w:color="auto"/>
                    <w:left w:val="none" w:sz="0" w:space="0" w:color="auto"/>
                    <w:bottom w:val="none" w:sz="0" w:space="0" w:color="auto"/>
                    <w:right w:val="none" w:sz="0" w:space="0" w:color="auto"/>
                  </w:divBdr>
                </w:div>
              </w:divsChild>
            </w:div>
            <w:div w:id="1145582509">
              <w:marLeft w:val="0"/>
              <w:marRight w:val="0"/>
              <w:marTop w:val="0"/>
              <w:marBottom w:val="0"/>
              <w:divBdr>
                <w:top w:val="none" w:sz="0" w:space="0" w:color="auto"/>
                <w:left w:val="none" w:sz="0" w:space="0" w:color="auto"/>
                <w:bottom w:val="none" w:sz="0" w:space="0" w:color="auto"/>
                <w:right w:val="none" w:sz="0" w:space="0" w:color="auto"/>
              </w:divBdr>
              <w:divsChild>
                <w:div w:id="1673297453">
                  <w:marLeft w:val="0"/>
                  <w:marRight w:val="0"/>
                  <w:marTop w:val="0"/>
                  <w:marBottom w:val="0"/>
                  <w:divBdr>
                    <w:top w:val="none" w:sz="0" w:space="0" w:color="auto"/>
                    <w:left w:val="none" w:sz="0" w:space="0" w:color="auto"/>
                    <w:bottom w:val="none" w:sz="0" w:space="0" w:color="auto"/>
                    <w:right w:val="none" w:sz="0" w:space="0" w:color="auto"/>
                  </w:divBdr>
                </w:div>
              </w:divsChild>
            </w:div>
            <w:div w:id="1146973088">
              <w:marLeft w:val="0"/>
              <w:marRight w:val="0"/>
              <w:marTop w:val="0"/>
              <w:marBottom w:val="0"/>
              <w:divBdr>
                <w:top w:val="none" w:sz="0" w:space="0" w:color="auto"/>
                <w:left w:val="none" w:sz="0" w:space="0" w:color="auto"/>
                <w:bottom w:val="none" w:sz="0" w:space="0" w:color="auto"/>
                <w:right w:val="none" w:sz="0" w:space="0" w:color="auto"/>
              </w:divBdr>
              <w:divsChild>
                <w:div w:id="597493782">
                  <w:marLeft w:val="0"/>
                  <w:marRight w:val="0"/>
                  <w:marTop w:val="0"/>
                  <w:marBottom w:val="0"/>
                  <w:divBdr>
                    <w:top w:val="none" w:sz="0" w:space="0" w:color="auto"/>
                    <w:left w:val="none" w:sz="0" w:space="0" w:color="auto"/>
                    <w:bottom w:val="none" w:sz="0" w:space="0" w:color="auto"/>
                    <w:right w:val="none" w:sz="0" w:space="0" w:color="auto"/>
                  </w:divBdr>
                </w:div>
              </w:divsChild>
            </w:div>
            <w:div w:id="1374043127">
              <w:marLeft w:val="0"/>
              <w:marRight w:val="0"/>
              <w:marTop w:val="0"/>
              <w:marBottom w:val="0"/>
              <w:divBdr>
                <w:top w:val="none" w:sz="0" w:space="0" w:color="auto"/>
                <w:left w:val="none" w:sz="0" w:space="0" w:color="auto"/>
                <w:bottom w:val="none" w:sz="0" w:space="0" w:color="auto"/>
                <w:right w:val="none" w:sz="0" w:space="0" w:color="auto"/>
              </w:divBdr>
              <w:divsChild>
                <w:div w:id="1275869167">
                  <w:marLeft w:val="0"/>
                  <w:marRight w:val="0"/>
                  <w:marTop w:val="0"/>
                  <w:marBottom w:val="0"/>
                  <w:divBdr>
                    <w:top w:val="none" w:sz="0" w:space="0" w:color="auto"/>
                    <w:left w:val="none" w:sz="0" w:space="0" w:color="auto"/>
                    <w:bottom w:val="none" w:sz="0" w:space="0" w:color="auto"/>
                    <w:right w:val="none" w:sz="0" w:space="0" w:color="auto"/>
                  </w:divBdr>
                </w:div>
              </w:divsChild>
            </w:div>
            <w:div w:id="1442069173">
              <w:marLeft w:val="0"/>
              <w:marRight w:val="0"/>
              <w:marTop w:val="0"/>
              <w:marBottom w:val="0"/>
              <w:divBdr>
                <w:top w:val="none" w:sz="0" w:space="0" w:color="auto"/>
                <w:left w:val="none" w:sz="0" w:space="0" w:color="auto"/>
                <w:bottom w:val="none" w:sz="0" w:space="0" w:color="auto"/>
                <w:right w:val="none" w:sz="0" w:space="0" w:color="auto"/>
              </w:divBdr>
              <w:divsChild>
                <w:div w:id="415515802">
                  <w:marLeft w:val="0"/>
                  <w:marRight w:val="0"/>
                  <w:marTop w:val="0"/>
                  <w:marBottom w:val="0"/>
                  <w:divBdr>
                    <w:top w:val="none" w:sz="0" w:space="0" w:color="auto"/>
                    <w:left w:val="none" w:sz="0" w:space="0" w:color="auto"/>
                    <w:bottom w:val="none" w:sz="0" w:space="0" w:color="auto"/>
                    <w:right w:val="none" w:sz="0" w:space="0" w:color="auto"/>
                  </w:divBdr>
                </w:div>
              </w:divsChild>
            </w:div>
            <w:div w:id="1469084152">
              <w:marLeft w:val="0"/>
              <w:marRight w:val="0"/>
              <w:marTop w:val="0"/>
              <w:marBottom w:val="0"/>
              <w:divBdr>
                <w:top w:val="none" w:sz="0" w:space="0" w:color="auto"/>
                <w:left w:val="none" w:sz="0" w:space="0" w:color="auto"/>
                <w:bottom w:val="none" w:sz="0" w:space="0" w:color="auto"/>
                <w:right w:val="none" w:sz="0" w:space="0" w:color="auto"/>
              </w:divBdr>
              <w:divsChild>
                <w:div w:id="1459648119">
                  <w:marLeft w:val="0"/>
                  <w:marRight w:val="0"/>
                  <w:marTop w:val="0"/>
                  <w:marBottom w:val="0"/>
                  <w:divBdr>
                    <w:top w:val="none" w:sz="0" w:space="0" w:color="auto"/>
                    <w:left w:val="none" w:sz="0" w:space="0" w:color="auto"/>
                    <w:bottom w:val="none" w:sz="0" w:space="0" w:color="auto"/>
                    <w:right w:val="none" w:sz="0" w:space="0" w:color="auto"/>
                  </w:divBdr>
                </w:div>
              </w:divsChild>
            </w:div>
            <w:div w:id="1638949805">
              <w:marLeft w:val="0"/>
              <w:marRight w:val="0"/>
              <w:marTop w:val="0"/>
              <w:marBottom w:val="0"/>
              <w:divBdr>
                <w:top w:val="none" w:sz="0" w:space="0" w:color="auto"/>
                <w:left w:val="none" w:sz="0" w:space="0" w:color="auto"/>
                <w:bottom w:val="none" w:sz="0" w:space="0" w:color="auto"/>
                <w:right w:val="none" w:sz="0" w:space="0" w:color="auto"/>
              </w:divBdr>
              <w:divsChild>
                <w:div w:id="1372799970">
                  <w:marLeft w:val="0"/>
                  <w:marRight w:val="0"/>
                  <w:marTop w:val="0"/>
                  <w:marBottom w:val="0"/>
                  <w:divBdr>
                    <w:top w:val="none" w:sz="0" w:space="0" w:color="auto"/>
                    <w:left w:val="none" w:sz="0" w:space="0" w:color="auto"/>
                    <w:bottom w:val="none" w:sz="0" w:space="0" w:color="auto"/>
                    <w:right w:val="none" w:sz="0" w:space="0" w:color="auto"/>
                  </w:divBdr>
                </w:div>
              </w:divsChild>
            </w:div>
            <w:div w:id="1690985819">
              <w:marLeft w:val="0"/>
              <w:marRight w:val="0"/>
              <w:marTop w:val="0"/>
              <w:marBottom w:val="0"/>
              <w:divBdr>
                <w:top w:val="none" w:sz="0" w:space="0" w:color="auto"/>
                <w:left w:val="none" w:sz="0" w:space="0" w:color="auto"/>
                <w:bottom w:val="none" w:sz="0" w:space="0" w:color="auto"/>
                <w:right w:val="none" w:sz="0" w:space="0" w:color="auto"/>
              </w:divBdr>
              <w:divsChild>
                <w:div w:id="1289361926">
                  <w:marLeft w:val="0"/>
                  <w:marRight w:val="0"/>
                  <w:marTop w:val="0"/>
                  <w:marBottom w:val="0"/>
                  <w:divBdr>
                    <w:top w:val="none" w:sz="0" w:space="0" w:color="auto"/>
                    <w:left w:val="none" w:sz="0" w:space="0" w:color="auto"/>
                    <w:bottom w:val="none" w:sz="0" w:space="0" w:color="auto"/>
                    <w:right w:val="none" w:sz="0" w:space="0" w:color="auto"/>
                  </w:divBdr>
                </w:div>
              </w:divsChild>
            </w:div>
            <w:div w:id="1702823404">
              <w:marLeft w:val="0"/>
              <w:marRight w:val="0"/>
              <w:marTop w:val="0"/>
              <w:marBottom w:val="0"/>
              <w:divBdr>
                <w:top w:val="none" w:sz="0" w:space="0" w:color="auto"/>
                <w:left w:val="none" w:sz="0" w:space="0" w:color="auto"/>
                <w:bottom w:val="none" w:sz="0" w:space="0" w:color="auto"/>
                <w:right w:val="none" w:sz="0" w:space="0" w:color="auto"/>
              </w:divBdr>
              <w:divsChild>
                <w:div w:id="1750225088">
                  <w:marLeft w:val="0"/>
                  <w:marRight w:val="0"/>
                  <w:marTop w:val="0"/>
                  <w:marBottom w:val="0"/>
                  <w:divBdr>
                    <w:top w:val="none" w:sz="0" w:space="0" w:color="auto"/>
                    <w:left w:val="none" w:sz="0" w:space="0" w:color="auto"/>
                    <w:bottom w:val="none" w:sz="0" w:space="0" w:color="auto"/>
                    <w:right w:val="none" w:sz="0" w:space="0" w:color="auto"/>
                  </w:divBdr>
                </w:div>
              </w:divsChild>
            </w:div>
            <w:div w:id="1727291074">
              <w:marLeft w:val="0"/>
              <w:marRight w:val="0"/>
              <w:marTop w:val="0"/>
              <w:marBottom w:val="0"/>
              <w:divBdr>
                <w:top w:val="none" w:sz="0" w:space="0" w:color="auto"/>
                <w:left w:val="none" w:sz="0" w:space="0" w:color="auto"/>
                <w:bottom w:val="none" w:sz="0" w:space="0" w:color="auto"/>
                <w:right w:val="none" w:sz="0" w:space="0" w:color="auto"/>
              </w:divBdr>
              <w:divsChild>
                <w:div w:id="1881242031">
                  <w:marLeft w:val="0"/>
                  <w:marRight w:val="0"/>
                  <w:marTop w:val="0"/>
                  <w:marBottom w:val="0"/>
                  <w:divBdr>
                    <w:top w:val="none" w:sz="0" w:space="0" w:color="auto"/>
                    <w:left w:val="none" w:sz="0" w:space="0" w:color="auto"/>
                    <w:bottom w:val="none" w:sz="0" w:space="0" w:color="auto"/>
                    <w:right w:val="none" w:sz="0" w:space="0" w:color="auto"/>
                  </w:divBdr>
                </w:div>
              </w:divsChild>
            </w:div>
            <w:div w:id="1738673101">
              <w:marLeft w:val="0"/>
              <w:marRight w:val="0"/>
              <w:marTop w:val="0"/>
              <w:marBottom w:val="0"/>
              <w:divBdr>
                <w:top w:val="none" w:sz="0" w:space="0" w:color="auto"/>
                <w:left w:val="none" w:sz="0" w:space="0" w:color="auto"/>
                <w:bottom w:val="none" w:sz="0" w:space="0" w:color="auto"/>
                <w:right w:val="none" w:sz="0" w:space="0" w:color="auto"/>
              </w:divBdr>
              <w:divsChild>
                <w:div w:id="22948669">
                  <w:marLeft w:val="0"/>
                  <w:marRight w:val="0"/>
                  <w:marTop w:val="0"/>
                  <w:marBottom w:val="0"/>
                  <w:divBdr>
                    <w:top w:val="none" w:sz="0" w:space="0" w:color="auto"/>
                    <w:left w:val="none" w:sz="0" w:space="0" w:color="auto"/>
                    <w:bottom w:val="none" w:sz="0" w:space="0" w:color="auto"/>
                    <w:right w:val="none" w:sz="0" w:space="0" w:color="auto"/>
                  </w:divBdr>
                </w:div>
              </w:divsChild>
            </w:div>
            <w:div w:id="1809081101">
              <w:marLeft w:val="0"/>
              <w:marRight w:val="0"/>
              <w:marTop w:val="0"/>
              <w:marBottom w:val="0"/>
              <w:divBdr>
                <w:top w:val="none" w:sz="0" w:space="0" w:color="auto"/>
                <w:left w:val="none" w:sz="0" w:space="0" w:color="auto"/>
                <w:bottom w:val="none" w:sz="0" w:space="0" w:color="auto"/>
                <w:right w:val="none" w:sz="0" w:space="0" w:color="auto"/>
              </w:divBdr>
              <w:divsChild>
                <w:div w:id="13942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7982">
          <w:marLeft w:val="0"/>
          <w:marRight w:val="0"/>
          <w:marTop w:val="0"/>
          <w:marBottom w:val="0"/>
          <w:divBdr>
            <w:top w:val="none" w:sz="0" w:space="0" w:color="auto"/>
            <w:left w:val="none" w:sz="0" w:space="0" w:color="auto"/>
            <w:bottom w:val="none" w:sz="0" w:space="0" w:color="auto"/>
            <w:right w:val="none" w:sz="0" w:space="0" w:color="auto"/>
          </w:divBdr>
          <w:divsChild>
            <w:div w:id="1902475102">
              <w:marLeft w:val="0"/>
              <w:marRight w:val="0"/>
              <w:marTop w:val="0"/>
              <w:marBottom w:val="0"/>
              <w:divBdr>
                <w:top w:val="none" w:sz="0" w:space="0" w:color="auto"/>
                <w:left w:val="none" w:sz="0" w:space="0" w:color="auto"/>
                <w:bottom w:val="none" w:sz="0" w:space="0" w:color="auto"/>
                <w:right w:val="none" w:sz="0" w:space="0" w:color="auto"/>
              </w:divBdr>
              <w:divsChild>
                <w:div w:id="12408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42">
      <w:bodyDiv w:val="1"/>
      <w:marLeft w:val="0"/>
      <w:marRight w:val="0"/>
      <w:marTop w:val="0"/>
      <w:marBottom w:val="0"/>
      <w:divBdr>
        <w:top w:val="none" w:sz="0" w:space="0" w:color="auto"/>
        <w:left w:val="none" w:sz="0" w:space="0" w:color="auto"/>
        <w:bottom w:val="none" w:sz="0" w:space="0" w:color="auto"/>
        <w:right w:val="none" w:sz="0" w:space="0" w:color="auto"/>
      </w:divBdr>
    </w:div>
    <w:div w:id="1926959723">
      <w:bodyDiv w:val="1"/>
      <w:marLeft w:val="0"/>
      <w:marRight w:val="0"/>
      <w:marTop w:val="0"/>
      <w:marBottom w:val="0"/>
      <w:divBdr>
        <w:top w:val="none" w:sz="0" w:space="0" w:color="auto"/>
        <w:left w:val="none" w:sz="0" w:space="0" w:color="auto"/>
        <w:bottom w:val="none" w:sz="0" w:space="0" w:color="auto"/>
        <w:right w:val="none" w:sz="0" w:space="0" w:color="auto"/>
      </w:divBdr>
    </w:div>
    <w:div w:id="1977030739">
      <w:bodyDiv w:val="1"/>
      <w:marLeft w:val="0"/>
      <w:marRight w:val="0"/>
      <w:marTop w:val="0"/>
      <w:marBottom w:val="0"/>
      <w:divBdr>
        <w:top w:val="none" w:sz="0" w:space="0" w:color="auto"/>
        <w:left w:val="none" w:sz="0" w:space="0" w:color="auto"/>
        <w:bottom w:val="none" w:sz="0" w:space="0" w:color="auto"/>
        <w:right w:val="none" w:sz="0" w:space="0" w:color="auto"/>
      </w:divBdr>
    </w:div>
    <w:div w:id="2005543999">
      <w:bodyDiv w:val="1"/>
      <w:marLeft w:val="0"/>
      <w:marRight w:val="0"/>
      <w:marTop w:val="0"/>
      <w:marBottom w:val="0"/>
      <w:divBdr>
        <w:top w:val="none" w:sz="0" w:space="0" w:color="auto"/>
        <w:left w:val="none" w:sz="0" w:space="0" w:color="auto"/>
        <w:bottom w:val="none" w:sz="0" w:space="0" w:color="auto"/>
        <w:right w:val="none" w:sz="0" w:space="0" w:color="auto"/>
      </w:divBdr>
    </w:div>
    <w:div w:id="2039692869">
      <w:bodyDiv w:val="1"/>
      <w:marLeft w:val="0"/>
      <w:marRight w:val="0"/>
      <w:marTop w:val="0"/>
      <w:marBottom w:val="0"/>
      <w:divBdr>
        <w:top w:val="none" w:sz="0" w:space="0" w:color="auto"/>
        <w:left w:val="none" w:sz="0" w:space="0" w:color="auto"/>
        <w:bottom w:val="none" w:sz="0" w:space="0" w:color="auto"/>
        <w:right w:val="none" w:sz="0" w:space="0" w:color="auto"/>
      </w:divBdr>
    </w:div>
    <w:div w:id="2076316767">
      <w:bodyDiv w:val="1"/>
      <w:marLeft w:val="0"/>
      <w:marRight w:val="0"/>
      <w:marTop w:val="0"/>
      <w:marBottom w:val="0"/>
      <w:divBdr>
        <w:top w:val="none" w:sz="0" w:space="0" w:color="auto"/>
        <w:left w:val="none" w:sz="0" w:space="0" w:color="auto"/>
        <w:bottom w:val="none" w:sz="0" w:space="0" w:color="auto"/>
        <w:right w:val="none" w:sz="0" w:space="0" w:color="auto"/>
      </w:divBdr>
    </w:div>
    <w:div w:id="2099204748">
      <w:bodyDiv w:val="1"/>
      <w:marLeft w:val="0"/>
      <w:marRight w:val="0"/>
      <w:marTop w:val="0"/>
      <w:marBottom w:val="0"/>
      <w:divBdr>
        <w:top w:val="none" w:sz="0" w:space="0" w:color="auto"/>
        <w:left w:val="none" w:sz="0" w:space="0" w:color="auto"/>
        <w:bottom w:val="none" w:sz="0" w:space="0" w:color="auto"/>
        <w:right w:val="none" w:sz="0" w:space="0" w:color="auto"/>
      </w:divBdr>
    </w:div>
    <w:div w:id="2104304472">
      <w:bodyDiv w:val="1"/>
      <w:marLeft w:val="0"/>
      <w:marRight w:val="0"/>
      <w:marTop w:val="0"/>
      <w:marBottom w:val="0"/>
      <w:divBdr>
        <w:top w:val="none" w:sz="0" w:space="0" w:color="auto"/>
        <w:left w:val="none" w:sz="0" w:space="0" w:color="auto"/>
        <w:bottom w:val="none" w:sz="0" w:space="0" w:color="auto"/>
        <w:right w:val="none" w:sz="0" w:space="0" w:color="auto"/>
      </w:divBdr>
    </w:div>
    <w:div w:id="2107535883">
      <w:bodyDiv w:val="1"/>
      <w:marLeft w:val="0"/>
      <w:marRight w:val="0"/>
      <w:marTop w:val="0"/>
      <w:marBottom w:val="0"/>
      <w:divBdr>
        <w:top w:val="none" w:sz="0" w:space="0" w:color="auto"/>
        <w:left w:val="none" w:sz="0" w:space="0" w:color="auto"/>
        <w:bottom w:val="none" w:sz="0" w:space="0" w:color="auto"/>
        <w:right w:val="none" w:sz="0" w:space="0" w:color="auto"/>
      </w:divBdr>
      <w:divsChild>
        <w:div w:id="1888564641">
          <w:marLeft w:val="331"/>
          <w:marRight w:val="0"/>
          <w:marTop w:val="0"/>
          <w:marBottom w:val="0"/>
          <w:divBdr>
            <w:top w:val="none" w:sz="0" w:space="0" w:color="auto"/>
            <w:left w:val="none" w:sz="0" w:space="0" w:color="auto"/>
            <w:bottom w:val="none" w:sz="0" w:space="0" w:color="auto"/>
            <w:right w:val="none" w:sz="0" w:space="0" w:color="auto"/>
          </w:divBdr>
        </w:div>
      </w:divsChild>
    </w:div>
    <w:div w:id="210942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el.evin@hava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upe-b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oupe-b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el.evin@hav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c3b0fe-c64c-42e1-8c39-839df3ffff89" xsi:nil="true"/>
    <lcf76f155ced4ddcb4097134ff3c332f xmlns="ea55f1d1-0fc4-4461-a389-bdde9a2f46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69A2817BA8184A9F9F64B50FAD9CA0" ma:contentTypeVersion="16" ma:contentTypeDescription="Crée un document." ma:contentTypeScope="" ma:versionID="5e2a4aecd076e74dce5fd7e2be6a2a58">
  <xsd:schema xmlns:xsd="http://www.w3.org/2001/XMLSchema" xmlns:xs="http://www.w3.org/2001/XMLSchema" xmlns:p="http://schemas.microsoft.com/office/2006/metadata/properties" xmlns:ns2="b3c3b0fe-c64c-42e1-8c39-839df3ffff89" xmlns:ns3="ea55f1d1-0fc4-4461-a389-bdde9a2f461d" targetNamespace="http://schemas.microsoft.com/office/2006/metadata/properties" ma:root="true" ma:fieldsID="71004f6d7b20a93534d07f7c4ee8edd8" ns2:_="" ns3:_="">
    <xsd:import namespace="b3c3b0fe-c64c-42e1-8c39-839df3ffff89"/>
    <xsd:import namespace="ea55f1d1-0fc4-4461-a389-bdde9a2f46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3b0fe-c64c-42e1-8c39-839df3ffff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5292035-a3db-49ad-81f6-7209b4628c1a}" ma:internalName="TaxCatchAll" ma:showField="CatchAllData" ma:web="b3c3b0fe-c64c-42e1-8c39-839df3ffff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55f1d1-0fc4-4461-a389-bdde9a2f46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77B67-5DA0-4376-828D-00A048C4483F}">
  <ds:schemaRefs>
    <ds:schemaRef ds:uri="http://schemas.microsoft.com/sharepoint/v3/contenttype/forms"/>
  </ds:schemaRefs>
</ds:datastoreItem>
</file>

<file path=customXml/itemProps2.xml><?xml version="1.0" encoding="utf-8"?>
<ds:datastoreItem xmlns:ds="http://schemas.openxmlformats.org/officeDocument/2006/customXml" ds:itemID="{0B4A933B-D621-4A12-8852-D03DE23E3F75}">
  <ds:schemaRefs>
    <ds:schemaRef ds:uri="http://schemas.microsoft.com/office/2006/metadata/properties"/>
    <ds:schemaRef ds:uri="http://schemas.microsoft.com/office/infopath/2007/PartnerControls"/>
    <ds:schemaRef ds:uri="b3c3b0fe-c64c-42e1-8c39-839df3ffff89"/>
    <ds:schemaRef ds:uri="ea55f1d1-0fc4-4461-a389-bdde9a2f461d"/>
  </ds:schemaRefs>
</ds:datastoreItem>
</file>

<file path=customXml/itemProps3.xml><?xml version="1.0" encoding="utf-8"?>
<ds:datastoreItem xmlns:ds="http://schemas.openxmlformats.org/officeDocument/2006/customXml" ds:itemID="{516286F2-1156-4EA1-8DAD-02E6A01930A7}">
  <ds:schemaRefs>
    <ds:schemaRef ds:uri="http://schemas.openxmlformats.org/officeDocument/2006/bibliography"/>
  </ds:schemaRefs>
</ds:datastoreItem>
</file>

<file path=customXml/itemProps4.xml><?xml version="1.0" encoding="utf-8"?>
<ds:datastoreItem xmlns:ds="http://schemas.openxmlformats.org/officeDocument/2006/customXml" ds:itemID="{5AA271E2-1484-49A4-9769-784D234E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3b0fe-c64c-42e1-8c39-839df3ffff89"/>
    <ds:schemaRef ds:uri="ea55f1d1-0fc4-4461-a389-bdde9a2f4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2377</Words>
  <Characters>13077</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MOUROT</dc:creator>
  <cp:keywords/>
  <dc:description/>
  <cp:lastModifiedBy>Jean-Marie SAUVEE</cp:lastModifiedBy>
  <cp:revision>13</cp:revision>
  <cp:lastPrinted>2021-03-18T12:37:00Z</cp:lastPrinted>
  <dcterms:created xsi:type="dcterms:W3CDTF">2024-02-29T14:53:00Z</dcterms:created>
  <dcterms:modified xsi:type="dcterms:W3CDTF">2024-02-29T17:05:00Z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0x0101003269A2817BA8184A9F9F64B50FAD9CA0</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#0000ff,11,Calibri</vt:lpwstr>
  </property>
  <property fmtid="{D5CDD505-2E9C-101B-9397-08002B2CF9AE}" pid="6" name="ClassificationContentMarkingFooterText">
    <vt:lpwstr>C2 - Internal</vt:lpwstr>
  </property>
  <property fmtid="{D5CDD505-2E9C-101B-9397-08002B2CF9AE}" pid="7" name="MSIP_Label_98363a7e-e196-4321-b416-0da59d91cc69_Enabled">
    <vt:lpwstr>true</vt:lpwstr>
  </property>
  <property fmtid="{D5CDD505-2E9C-101B-9397-08002B2CF9AE}" pid="8" name="MSIP_Label_98363a7e-e196-4321-b416-0da59d91cc69_SetDate">
    <vt:lpwstr>2024-02-01T09:24:54Z</vt:lpwstr>
  </property>
  <property fmtid="{D5CDD505-2E9C-101B-9397-08002B2CF9AE}" pid="9" name="MSIP_Label_98363a7e-e196-4321-b416-0da59d91cc69_Method">
    <vt:lpwstr>Standard</vt:lpwstr>
  </property>
  <property fmtid="{D5CDD505-2E9C-101B-9397-08002B2CF9AE}" pid="10" name="MSIP_Label_98363a7e-e196-4321-b416-0da59d91cc69_Name">
    <vt:lpwstr>98363a7e-e196-4321-b416-0da59d91cc69</vt:lpwstr>
  </property>
  <property fmtid="{D5CDD505-2E9C-101B-9397-08002B2CF9AE}" pid="11" name="MSIP_Label_98363a7e-e196-4321-b416-0da59d91cc69_SiteId">
    <vt:lpwstr>b426991c-4e11-4b97-8cdd-a962846b0120</vt:lpwstr>
  </property>
  <property fmtid="{D5CDD505-2E9C-101B-9397-08002B2CF9AE}" pid="12" name="MSIP_Label_98363a7e-e196-4321-b416-0da59d91cc69_ActionId">
    <vt:lpwstr>a8a25a2f-7b18-425b-96df-00f8e0e69acb</vt:lpwstr>
  </property>
  <property fmtid="{D5CDD505-2E9C-101B-9397-08002B2CF9AE}" pid="13" name="MSIP_Label_98363a7e-e196-4321-b416-0da59d91cc69_ContentBits">
    <vt:lpwstr>2</vt:lpwstr>
  </property>
</Properties>
</file>